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0E41AB">
      <w:pPr>
        <w:rPr>
          <w:rFonts w:hint="eastAsia" w:ascii="黑体" w:hAnsi="黑体" w:eastAsia="黑体"/>
          <w:sz w:val="32"/>
          <w:szCs w:val="32"/>
        </w:rPr>
      </w:pPr>
    </w:p>
    <w:p w14:paraId="50F9FE88">
      <w:pPr>
        <w:jc w:val="center"/>
        <w:rPr>
          <w:rFonts w:hint="eastAsia" w:ascii="方正小标宋_GBK" w:hAnsi="宋体" w:eastAsia="方正小标宋_GBK"/>
          <w:sz w:val="44"/>
          <w:szCs w:val="44"/>
        </w:rPr>
      </w:pPr>
    </w:p>
    <w:p w14:paraId="21A6973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木垒哈萨克自治县草原工作站</w:t>
      </w:r>
    </w:p>
    <w:p w14:paraId="0F0359A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0E93BC4E">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54ABC53D">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CBAAB3F">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004873EC">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7693C4A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DEC230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7094646">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09D9A6C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7DDFCE5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DFD078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F177B9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2EC779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4B4B6B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3D37D8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383811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6FCB337">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4774069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92EB9B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0982F1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952B43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4D839F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36344AA4">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F2038D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6232547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FDF65C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85113A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96BF7F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E15646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5B88AF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3B7381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6F06DF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0B7E78F">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A3B4DB0">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302032C7">
      <w:r>
        <w:rPr>
          <w:rFonts w:hint="eastAsia" w:ascii="仿宋_GB2312" w:hAnsi="仿宋_GB2312" w:eastAsia="仿宋_GB2312" w:cs="仿宋_GB2312"/>
          <w:sz w:val="32"/>
          <w:szCs w:val="32"/>
        </w:rPr>
        <w:fldChar w:fldCharType="end"/>
      </w:r>
    </w:p>
    <w:p w14:paraId="5E48CDF7">
      <w:pPr>
        <w:rPr>
          <w:rFonts w:ascii="仿宋_GB2312" w:eastAsia="仿宋_GB2312"/>
          <w:sz w:val="32"/>
          <w:szCs w:val="32"/>
        </w:rPr>
      </w:pPr>
      <w:r>
        <w:rPr>
          <w:rFonts w:hint="eastAsia" w:ascii="仿宋_GB2312" w:eastAsia="仿宋_GB2312"/>
          <w:sz w:val="32"/>
          <w:szCs w:val="32"/>
        </w:rPr>
        <w:br w:type="page"/>
      </w:r>
    </w:p>
    <w:p w14:paraId="2A12561F">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1C7EB17D">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77ED1EC3">
      <w:pPr>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负责全县草原保护、建设。负责饲草料种植区域布局，计划安排，承担新品的引进，培育和推广，负责饲草料种植，收获，贮藏，加工等技术的研究，示范和推广应用工作。负责草原资源调查、规划和草地生产力动态监测。负责国家、自治区和自治州有关草原建设、改良、利用、开展示范等项目的执行和技术指导。负责人工饲草料地、改良草地、牧草种子基地、牧民定居、机械化专场等项目的研究、规划、设计和施工，负责退牧还草围栏项目的规划、建设、施工和监督检查、验收。</w:t>
      </w:r>
    </w:p>
    <w:p w14:paraId="436BD42A">
      <w:pPr>
        <w:ind w:firstLine="640" w:firstLineChars="200"/>
        <w:jc w:val="left"/>
        <w:rPr>
          <w:rFonts w:ascii="仿宋_GB2312" w:eastAsia="仿宋_GB2312"/>
          <w:sz w:val="32"/>
          <w:szCs w:val="32"/>
        </w:rPr>
      </w:pPr>
      <w:r>
        <w:rPr>
          <w:rFonts w:hint="eastAsia" w:ascii="仿宋_GB2312" w:hAnsi="宋体" w:eastAsia="仿宋_GB2312"/>
          <w:bCs/>
          <w:sz w:val="32"/>
          <w:szCs w:val="32"/>
        </w:rPr>
        <w:t>负责草原生物灾害的预测预报和防治方案的制定、任务实施防治技术的规范、检查和验收。</w:t>
      </w:r>
    </w:p>
    <w:p w14:paraId="1AB71B3D">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D9CADAD">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木垒哈萨克自治县草原工作站2023年度，实有人数</w:t>
      </w:r>
      <w:r>
        <w:rPr>
          <w:rFonts w:hint="eastAsia" w:ascii="仿宋_GB2312" w:eastAsia="仿宋_GB2312"/>
          <w:sz w:val="32"/>
          <w:szCs w:val="32"/>
          <w:lang w:val="zh-CN"/>
        </w:rPr>
        <w:t>13</w:t>
      </w:r>
      <w:r>
        <w:rPr>
          <w:rFonts w:hint="eastAsia" w:ascii="仿宋_GB2312" w:eastAsia="仿宋_GB2312"/>
          <w:sz w:val="32"/>
          <w:szCs w:val="32"/>
        </w:rPr>
        <w:t>人，其中：在职人员</w:t>
      </w:r>
      <w:r>
        <w:rPr>
          <w:rFonts w:hint="eastAsia" w:ascii="仿宋_GB2312" w:eastAsia="仿宋_GB2312"/>
          <w:sz w:val="32"/>
          <w:szCs w:val="32"/>
          <w:lang w:val="zh-CN"/>
        </w:rPr>
        <w:t>4</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9</w:t>
      </w:r>
      <w:r>
        <w:rPr>
          <w:rFonts w:hint="eastAsia" w:ascii="仿宋_GB2312" w:eastAsia="仿宋_GB2312"/>
          <w:sz w:val="32"/>
          <w:szCs w:val="32"/>
        </w:rPr>
        <w:t>人。</w:t>
      </w:r>
    </w:p>
    <w:p w14:paraId="05F57415">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2</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办公室、业务科。</w:t>
      </w:r>
    </w:p>
    <w:p w14:paraId="1D519B94">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5ECA47EB">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1135E355">
      <w:pPr>
        <w:ind w:firstLine="640" w:firstLineChars="200"/>
        <w:rPr>
          <w:rFonts w:ascii="仿宋_GB2312" w:eastAsia="仿宋_GB2312"/>
          <w:sz w:val="32"/>
          <w:szCs w:val="32"/>
        </w:rPr>
      </w:pPr>
      <w:r>
        <w:rPr>
          <w:rFonts w:hint="eastAsia" w:ascii="仿宋_GB2312" w:eastAsia="仿宋_GB2312"/>
          <w:sz w:val="32"/>
          <w:szCs w:val="32"/>
        </w:rPr>
        <w:t>2023年度收入总计927.27万元，其中：本年收入合计927.27万元，使用非财政拨款结余0.00万元，年初结转和结余0.00万元。</w:t>
      </w:r>
    </w:p>
    <w:p w14:paraId="5B5EE900">
      <w:pPr>
        <w:ind w:firstLine="640" w:firstLineChars="200"/>
        <w:rPr>
          <w:rFonts w:ascii="仿宋_GB2312" w:eastAsia="仿宋_GB2312"/>
          <w:sz w:val="32"/>
          <w:szCs w:val="32"/>
        </w:rPr>
      </w:pPr>
      <w:r>
        <w:rPr>
          <w:rFonts w:hint="eastAsia" w:ascii="仿宋_GB2312" w:eastAsia="仿宋_GB2312"/>
          <w:sz w:val="32"/>
          <w:szCs w:val="32"/>
        </w:rPr>
        <w:t>2023年度支出总计927.27万元，其中：本年支出合计927.27万元，结余分配0.00万元，年末结转和结余0.00万元。</w:t>
      </w:r>
    </w:p>
    <w:p w14:paraId="631D9CE2">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增加658.00万元</w:t>
      </w:r>
      <w:r>
        <w:rPr>
          <w:rFonts w:hint="eastAsia" w:ascii="仿宋_GB2312" w:eastAsia="仿宋_GB2312"/>
          <w:sz w:val="32"/>
          <w:szCs w:val="32"/>
        </w:rPr>
        <w:t>，增长244.36%，主要原因是：本年人员调资，相应工资、津贴补贴、奖金等人员经费增加</w:t>
      </w:r>
      <w:r>
        <w:rPr>
          <w:rFonts w:hint="eastAsia" w:ascii="仿宋_GB2312" w:eastAsia="仿宋_GB2312"/>
          <w:sz w:val="32"/>
          <w:szCs w:val="32"/>
          <w:lang w:eastAsia="zh-CN"/>
        </w:rPr>
        <w:t>；</w:t>
      </w:r>
      <w:r>
        <w:rPr>
          <w:rFonts w:hint="eastAsia" w:ascii="仿宋_GB2312" w:eastAsia="仿宋_GB2312"/>
          <w:sz w:val="32"/>
          <w:szCs w:val="32"/>
        </w:rPr>
        <w:t>本年林业和草原生态修复资金增加。</w:t>
      </w:r>
    </w:p>
    <w:p w14:paraId="02187BEC">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0056BCD8">
      <w:pPr>
        <w:ind w:firstLine="640" w:firstLineChars="200"/>
        <w:rPr>
          <w:rFonts w:ascii="仿宋_GB2312" w:eastAsia="仿宋_GB2312"/>
          <w:sz w:val="32"/>
          <w:szCs w:val="32"/>
        </w:rPr>
      </w:pPr>
      <w:r>
        <w:rPr>
          <w:rFonts w:hint="eastAsia" w:ascii="仿宋_GB2312" w:eastAsia="仿宋_GB2312"/>
          <w:sz w:val="32"/>
          <w:szCs w:val="32"/>
        </w:rPr>
        <w:t>本年收入927.27万元，其中：财政拨款收入</w:t>
      </w:r>
      <w:r>
        <w:rPr>
          <w:rFonts w:hint="eastAsia" w:ascii="仿宋_GB2312" w:eastAsia="仿宋_GB2312"/>
          <w:sz w:val="32"/>
          <w:szCs w:val="32"/>
          <w:lang w:val="zh-CN"/>
        </w:rPr>
        <w:t>927.27</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1A974F1D">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9C2CF31">
      <w:pPr>
        <w:ind w:firstLine="640" w:firstLineChars="200"/>
        <w:rPr>
          <w:rFonts w:ascii="仿宋_GB2312" w:eastAsia="仿宋_GB2312"/>
          <w:sz w:val="32"/>
          <w:szCs w:val="32"/>
        </w:rPr>
      </w:pPr>
      <w:r>
        <w:rPr>
          <w:rFonts w:hint="eastAsia" w:ascii="仿宋_GB2312" w:eastAsia="仿宋_GB2312"/>
          <w:sz w:val="32"/>
          <w:szCs w:val="32"/>
        </w:rPr>
        <w:t>本年支出927.27万元，其中：基本支出245.81万元，占26.51%；项目支出681.46万元，占73.49%；上缴上级支出0.00万元，占0.00%；经营支出0.00万元，占0.00%；对附属单位补助支出0.00万元，占0.00%。</w:t>
      </w:r>
    </w:p>
    <w:p w14:paraId="01935535">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0C3893E5">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927.27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927.27</w:t>
      </w:r>
      <w:r>
        <w:rPr>
          <w:rFonts w:hint="eastAsia" w:ascii="仿宋_GB2312" w:eastAsia="仿宋_GB2312"/>
          <w:sz w:val="32"/>
          <w:szCs w:val="32"/>
        </w:rPr>
        <w:t>万元。财政拨款支出总计</w:t>
      </w:r>
      <w:r>
        <w:rPr>
          <w:rFonts w:hint="eastAsia" w:ascii="仿宋_GB2312" w:eastAsia="仿宋_GB2312"/>
          <w:sz w:val="32"/>
          <w:szCs w:val="32"/>
          <w:lang w:val="zh-CN"/>
        </w:rPr>
        <w:t>927.27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927.27</w:t>
      </w:r>
      <w:r>
        <w:rPr>
          <w:rFonts w:hint="eastAsia" w:ascii="仿宋_GB2312" w:eastAsia="仿宋_GB2312"/>
          <w:sz w:val="32"/>
          <w:szCs w:val="32"/>
        </w:rPr>
        <w:t>万元。</w:t>
      </w:r>
    </w:p>
    <w:p w14:paraId="718E7029">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增加658.00万元</w:t>
      </w:r>
      <w:r>
        <w:rPr>
          <w:rFonts w:hint="eastAsia" w:ascii="仿宋_GB2312" w:eastAsia="仿宋_GB2312"/>
          <w:sz w:val="32"/>
          <w:szCs w:val="32"/>
        </w:rPr>
        <w:t>，增长244.36%,主要原因是：本年人员调资，相应工资、津贴补贴、奖金等人员经费增加</w:t>
      </w:r>
      <w:r>
        <w:rPr>
          <w:rFonts w:hint="eastAsia" w:ascii="仿宋_GB2312" w:eastAsia="仿宋_GB2312"/>
          <w:sz w:val="32"/>
          <w:szCs w:val="32"/>
          <w:lang w:eastAsia="zh-CN"/>
        </w:rPr>
        <w:t>；</w:t>
      </w:r>
      <w:r>
        <w:rPr>
          <w:rFonts w:hint="eastAsia" w:ascii="仿宋_GB2312" w:eastAsia="仿宋_GB2312"/>
          <w:sz w:val="32"/>
          <w:szCs w:val="32"/>
        </w:rPr>
        <w:t>本年林业和草原生态修复资金增加。与年初预算相比，年初预算数</w:t>
      </w:r>
      <w:r>
        <w:rPr>
          <w:rFonts w:hint="eastAsia" w:ascii="仿宋_GB2312" w:eastAsia="仿宋_GB2312"/>
          <w:sz w:val="32"/>
          <w:szCs w:val="32"/>
          <w:lang w:val="zh-CN"/>
        </w:rPr>
        <w:t>81.99</w:t>
      </w:r>
      <w:r>
        <w:rPr>
          <w:rFonts w:hint="eastAsia" w:ascii="仿宋_GB2312" w:eastAsia="仿宋_GB2312"/>
          <w:sz w:val="32"/>
          <w:szCs w:val="32"/>
        </w:rPr>
        <w:t>万元，决算数</w:t>
      </w:r>
      <w:r>
        <w:rPr>
          <w:rFonts w:hint="eastAsia" w:ascii="仿宋_GB2312" w:eastAsia="仿宋_GB2312"/>
          <w:sz w:val="32"/>
          <w:szCs w:val="32"/>
          <w:lang w:val="zh-CN"/>
        </w:rPr>
        <w:t>927.27</w:t>
      </w:r>
      <w:r>
        <w:rPr>
          <w:rFonts w:hint="eastAsia" w:ascii="仿宋_GB2312" w:eastAsia="仿宋_GB2312"/>
          <w:sz w:val="32"/>
          <w:szCs w:val="32"/>
        </w:rPr>
        <w:t>万元，预决算差异率1,030.95%，主要原因是：</w:t>
      </w:r>
      <w:r>
        <w:rPr>
          <w:rFonts w:hint="eastAsia" w:ascii="仿宋_GB2312" w:eastAsia="仿宋_GB2312"/>
          <w:sz w:val="32"/>
          <w:szCs w:val="32"/>
          <w:lang w:val="en-US" w:eastAsia="zh-CN"/>
        </w:rPr>
        <w:t>年中</w:t>
      </w:r>
      <w:r>
        <w:rPr>
          <w:rFonts w:hint="eastAsia" w:ascii="仿宋_GB2312" w:eastAsia="仿宋_GB2312"/>
          <w:sz w:val="32"/>
          <w:szCs w:val="32"/>
        </w:rPr>
        <w:t>追加林业和草原生态修复项目资金</w:t>
      </w:r>
      <w:r>
        <w:rPr>
          <w:rFonts w:hint="eastAsia" w:ascii="仿宋_GB2312" w:eastAsia="仿宋_GB2312"/>
          <w:sz w:val="32"/>
          <w:szCs w:val="32"/>
          <w:lang w:eastAsia="zh-CN"/>
        </w:rPr>
        <w:t>；</w:t>
      </w:r>
      <w:r>
        <w:rPr>
          <w:rFonts w:hint="eastAsia" w:ascii="仿宋_GB2312" w:eastAsia="仿宋_GB2312"/>
          <w:sz w:val="32"/>
          <w:szCs w:val="32"/>
        </w:rPr>
        <w:t>本年人员调资，</w:t>
      </w:r>
      <w:r>
        <w:rPr>
          <w:rFonts w:hint="eastAsia" w:ascii="仿宋_GB2312" w:eastAsia="仿宋_GB2312"/>
          <w:sz w:val="32"/>
          <w:szCs w:val="32"/>
          <w:lang w:val="en-US" w:eastAsia="zh-CN"/>
        </w:rPr>
        <w:t>年中追加</w:t>
      </w:r>
      <w:r>
        <w:rPr>
          <w:rFonts w:hint="eastAsia" w:ascii="仿宋_GB2312" w:eastAsia="仿宋_GB2312"/>
          <w:sz w:val="32"/>
          <w:szCs w:val="32"/>
        </w:rPr>
        <w:t>工资、津贴补贴、奖金等人员经费。</w:t>
      </w:r>
    </w:p>
    <w:p w14:paraId="0071D48A">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29F362C3">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7920A842">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2023年度一般公共预算财政拨款支出844.39万元，占本年支出合计的</w:t>
      </w:r>
      <w:r>
        <w:rPr>
          <w:rFonts w:hint="eastAsia" w:ascii="仿宋_GB2312" w:eastAsia="仿宋_GB2312"/>
          <w:sz w:val="32"/>
          <w:szCs w:val="32"/>
          <w:lang w:val="zh-CN"/>
        </w:rPr>
        <w:t>91.06%</w:t>
      </w:r>
      <w:r>
        <w:rPr>
          <w:rFonts w:hint="eastAsia" w:ascii="仿宋_GB2312" w:eastAsia="仿宋_GB2312"/>
          <w:sz w:val="32"/>
          <w:szCs w:val="32"/>
        </w:rPr>
        <w:t>。与上年相比，</w:t>
      </w:r>
      <w:r>
        <w:rPr>
          <w:rFonts w:hint="eastAsia" w:ascii="仿宋_GB2312" w:eastAsia="仿宋_GB2312"/>
          <w:sz w:val="32"/>
          <w:szCs w:val="32"/>
          <w:lang w:val="zh-CN"/>
        </w:rPr>
        <w:t>增加575.12万元</w:t>
      </w:r>
      <w:r>
        <w:rPr>
          <w:rFonts w:hint="eastAsia" w:ascii="仿宋_GB2312" w:eastAsia="仿宋_GB2312"/>
          <w:sz w:val="32"/>
          <w:szCs w:val="32"/>
        </w:rPr>
        <w:t>，增长213.58%,主要原因是：本年人员调资，相应工资、津贴补贴、奖金等人员经费增加</w:t>
      </w:r>
      <w:r>
        <w:rPr>
          <w:rFonts w:hint="eastAsia" w:ascii="仿宋_GB2312" w:eastAsia="仿宋_GB2312"/>
          <w:sz w:val="32"/>
          <w:szCs w:val="32"/>
          <w:lang w:eastAsia="zh-CN"/>
        </w:rPr>
        <w:t>；</w:t>
      </w:r>
      <w:r>
        <w:rPr>
          <w:rFonts w:hint="eastAsia" w:ascii="仿宋_GB2312" w:eastAsia="仿宋_GB2312"/>
          <w:sz w:val="32"/>
          <w:szCs w:val="32"/>
        </w:rPr>
        <w:t>本年林业和草原生态修复资金增加。与年初预算相比，年初预算数</w:t>
      </w:r>
      <w:r>
        <w:rPr>
          <w:rFonts w:hint="eastAsia" w:ascii="仿宋_GB2312" w:eastAsia="仿宋_GB2312"/>
          <w:sz w:val="32"/>
          <w:szCs w:val="32"/>
          <w:lang w:val="zh-CN"/>
        </w:rPr>
        <w:t>81.99</w:t>
      </w:r>
      <w:r>
        <w:rPr>
          <w:rFonts w:hint="eastAsia" w:ascii="仿宋_GB2312" w:eastAsia="仿宋_GB2312"/>
          <w:sz w:val="32"/>
          <w:szCs w:val="32"/>
        </w:rPr>
        <w:t>万元，决算数</w:t>
      </w:r>
      <w:r>
        <w:rPr>
          <w:rFonts w:hint="eastAsia" w:ascii="仿宋_GB2312" w:eastAsia="仿宋_GB2312"/>
          <w:sz w:val="32"/>
          <w:szCs w:val="32"/>
          <w:lang w:val="zh-CN"/>
        </w:rPr>
        <w:t>844.39</w:t>
      </w:r>
      <w:r>
        <w:rPr>
          <w:rFonts w:hint="eastAsia" w:ascii="仿宋_GB2312" w:eastAsia="仿宋_GB2312"/>
          <w:sz w:val="32"/>
          <w:szCs w:val="32"/>
        </w:rPr>
        <w:t>万元，预决算差异率</w:t>
      </w:r>
      <w:r>
        <w:rPr>
          <w:rFonts w:hint="eastAsia" w:ascii="仿宋_GB2312" w:eastAsia="仿宋_GB2312"/>
          <w:sz w:val="32"/>
          <w:szCs w:val="32"/>
          <w:lang w:val="zh-CN"/>
        </w:rPr>
        <w:t>929.87%</w:t>
      </w:r>
      <w:r>
        <w:rPr>
          <w:rFonts w:hint="eastAsia" w:ascii="仿宋_GB2312" w:eastAsia="仿宋_GB2312"/>
          <w:sz w:val="32"/>
          <w:szCs w:val="32"/>
        </w:rPr>
        <w:t>，主要原因是：</w:t>
      </w:r>
      <w:r>
        <w:rPr>
          <w:rFonts w:hint="eastAsia" w:ascii="仿宋_GB2312" w:eastAsia="仿宋_GB2312"/>
          <w:sz w:val="32"/>
          <w:szCs w:val="32"/>
          <w:lang w:val="en-US" w:eastAsia="zh-CN"/>
        </w:rPr>
        <w:t>年中</w:t>
      </w:r>
      <w:r>
        <w:rPr>
          <w:rFonts w:hint="eastAsia" w:ascii="仿宋_GB2312" w:eastAsia="仿宋_GB2312"/>
          <w:sz w:val="32"/>
          <w:szCs w:val="32"/>
        </w:rPr>
        <w:t>追加林业和草原生态修复项目资金</w:t>
      </w:r>
      <w:r>
        <w:rPr>
          <w:rFonts w:hint="eastAsia" w:ascii="仿宋_GB2312" w:eastAsia="仿宋_GB2312"/>
          <w:sz w:val="32"/>
          <w:szCs w:val="32"/>
          <w:lang w:eastAsia="zh-CN"/>
        </w:rPr>
        <w:t>；</w:t>
      </w:r>
      <w:r>
        <w:rPr>
          <w:rFonts w:hint="eastAsia" w:ascii="仿宋_GB2312" w:eastAsia="仿宋_GB2312"/>
          <w:sz w:val="32"/>
          <w:szCs w:val="32"/>
        </w:rPr>
        <w:t>本年人员调资，</w:t>
      </w:r>
      <w:r>
        <w:rPr>
          <w:rFonts w:hint="eastAsia" w:ascii="仿宋_GB2312" w:eastAsia="仿宋_GB2312"/>
          <w:sz w:val="32"/>
          <w:szCs w:val="32"/>
          <w:lang w:val="en-US" w:eastAsia="zh-CN"/>
        </w:rPr>
        <w:t>年中追加</w:t>
      </w:r>
      <w:r>
        <w:rPr>
          <w:rFonts w:hint="eastAsia" w:ascii="仿宋_GB2312" w:eastAsia="仿宋_GB2312"/>
          <w:sz w:val="32"/>
          <w:szCs w:val="32"/>
        </w:rPr>
        <w:t>工资、津贴补贴、奖金等人员经费。</w:t>
      </w:r>
    </w:p>
    <w:p w14:paraId="74E3D403">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3496C33">
      <w:pPr>
        <w:ind w:firstLine="640" w:firstLineChars="200"/>
        <w:jc w:val="left"/>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.社会保障和就业支出（类）</w:t>
      </w:r>
      <w:r>
        <w:rPr>
          <w:rFonts w:hint="eastAsia" w:ascii="仿宋_GB2312" w:eastAsia="仿宋_GB2312"/>
          <w:sz w:val="32"/>
          <w:szCs w:val="32"/>
        </w:rPr>
        <w:t>10.94</w:t>
      </w:r>
      <w:r>
        <w:rPr>
          <w:rFonts w:ascii="仿宋_GB2312" w:eastAsia="仿宋_GB2312"/>
          <w:sz w:val="32"/>
          <w:szCs w:val="32"/>
        </w:rPr>
        <w:t>万元，占</w:t>
      </w:r>
      <w:r>
        <w:rPr>
          <w:rFonts w:hint="eastAsia" w:ascii="仿宋_GB2312" w:eastAsia="仿宋_GB2312"/>
          <w:sz w:val="32"/>
          <w:szCs w:val="32"/>
        </w:rPr>
        <w:t>1.30</w:t>
      </w:r>
      <w:r>
        <w:rPr>
          <w:rFonts w:ascii="仿宋_GB2312" w:eastAsia="仿宋_GB2312"/>
          <w:sz w:val="32"/>
          <w:szCs w:val="32"/>
        </w:rPr>
        <w:t>%；</w:t>
      </w:r>
    </w:p>
    <w:p w14:paraId="12C8DD23">
      <w:pPr>
        <w:ind w:firstLine="640" w:firstLineChars="200"/>
        <w:jc w:val="left"/>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.节能环保支出（类）</w:t>
      </w:r>
      <w:r>
        <w:rPr>
          <w:rFonts w:hint="eastAsia" w:ascii="仿宋_GB2312" w:eastAsia="仿宋_GB2312"/>
          <w:sz w:val="32"/>
          <w:szCs w:val="32"/>
        </w:rPr>
        <w:t>193.71</w:t>
      </w:r>
      <w:r>
        <w:rPr>
          <w:rFonts w:ascii="仿宋_GB2312" w:eastAsia="仿宋_GB2312"/>
          <w:sz w:val="32"/>
          <w:szCs w:val="32"/>
        </w:rPr>
        <w:t>万元，占</w:t>
      </w:r>
      <w:r>
        <w:rPr>
          <w:rFonts w:hint="eastAsia" w:ascii="仿宋_GB2312" w:eastAsia="仿宋_GB2312"/>
          <w:sz w:val="32"/>
          <w:szCs w:val="32"/>
        </w:rPr>
        <w:t>22.94</w:t>
      </w:r>
      <w:r>
        <w:rPr>
          <w:rFonts w:ascii="仿宋_GB2312" w:eastAsia="仿宋_GB2312"/>
          <w:sz w:val="32"/>
          <w:szCs w:val="32"/>
        </w:rPr>
        <w:t>%；</w:t>
      </w:r>
    </w:p>
    <w:p w14:paraId="3ED83DD0">
      <w:pPr>
        <w:ind w:firstLine="640" w:firstLineChars="200"/>
        <w:jc w:val="left"/>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.农林水支出（类）</w:t>
      </w:r>
      <w:r>
        <w:rPr>
          <w:rFonts w:hint="eastAsia" w:ascii="仿宋_GB2312" w:eastAsia="仿宋_GB2312"/>
          <w:sz w:val="32"/>
          <w:szCs w:val="32"/>
        </w:rPr>
        <w:t>634.23</w:t>
      </w:r>
      <w:r>
        <w:rPr>
          <w:rFonts w:ascii="仿宋_GB2312" w:eastAsia="仿宋_GB2312"/>
          <w:sz w:val="32"/>
          <w:szCs w:val="32"/>
        </w:rPr>
        <w:t>万元，占</w:t>
      </w:r>
      <w:r>
        <w:rPr>
          <w:rFonts w:hint="eastAsia" w:ascii="仿宋_GB2312" w:eastAsia="仿宋_GB2312"/>
          <w:sz w:val="32"/>
          <w:szCs w:val="32"/>
        </w:rPr>
        <w:t>75.11</w:t>
      </w:r>
      <w:r>
        <w:rPr>
          <w:rFonts w:ascii="仿宋_GB2312" w:eastAsia="仿宋_GB2312"/>
          <w:sz w:val="32"/>
          <w:szCs w:val="32"/>
        </w:rPr>
        <w:t>%；</w:t>
      </w:r>
    </w:p>
    <w:p w14:paraId="08C833F3">
      <w:pPr>
        <w:ind w:firstLine="640" w:firstLineChars="200"/>
        <w:jc w:val="left"/>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.住房保障支出（类）</w:t>
      </w:r>
      <w:r>
        <w:rPr>
          <w:rFonts w:hint="eastAsia" w:ascii="仿宋_GB2312" w:eastAsia="仿宋_GB2312"/>
          <w:sz w:val="32"/>
          <w:szCs w:val="32"/>
        </w:rPr>
        <w:t>5.51</w:t>
      </w:r>
      <w:r>
        <w:rPr>
          <w:rFonts w:ascii="仿宋_GB2312" w:eastAsia="仿宋_GB2312"/>
          <w:sz w:val="32"/>
          <w:szCs w:val="32"/>
        </w:rPr>
        <w:t>万元，占</w:t>
      </w:r>
      <w:r>
        <w:rPr>
          <w:rFonts w:hint="eastAsia" w:ascii="仿宋_GB2312" w:eastAsia="仿宋_GB2312"/>
          <w:sz w:val="32"/>
          <w:szCs w:val="32"/>
        </w:rPr>
        <w:t>0.65</w:t>
      </w:r>
      <w:r>
        <w:rPr>
          <w:rFonts w:ascii="仿宋_GB2312" w:eastAsia="仿宋_GB2312"/>
          <w:sz w:val="32"/>
          <w:szCs w:val="32"/>
        </w:rPr>
        <w:t>%</w:t>
      </w:r>
      <w:r>
        <w:rPr>
          <w:rFonts w:hint="eastAsia" w:ascii="仿宋_GB2312" w:eastAsia="仿宋_GB2312"/>
          <w:sz w:val="32"/>
          <w:szCs w:val="32"/>
        </w:rPr>
        <w:t>。</w:t>
      </w:r>
    </w:p>
    <w:p w14:paraId="037DAD8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776A2A8">
      <w:pPr>
        <w:ind w:firstLine="640" w:firstLineChars="200"/>
        <w:jc w:val="left"/>
        <w:rPr>
          <w:rFonts w:ascii="仿宋_GB2312" w:eastAsia="仿宋_GB2312"/>
          <w:sz w:val="32"/>
          <w:szCs w:val="32"/>
        </w:rPr>
      </w:pPr>
      <w:r>
        <w:rPr>
          <w:rFonts w:hint="eastAsia" w:ascii="仿宋_GB2312" w:eastAsia="仿宋_GB2312"/>
          <w:sz w:val="32"/>
          <w:szCs w:val="32"/>
        </w:rPr>
        <w:t>1.农林水支出（类）农业农村（款）事业运行（项）:支出决算数为82.54万元，比上年决算增加6.30万元，增长8.26%，主要原因是：本年人员调资，相应工资、津贴补贴、奖金等人员经费增加。</w:t>
      </w:r>
    </w:p>
    <w:p w14:paraId="6D4ACA9D">
      <w:pPr>
        <w:ind w:firstLine="640" w:firstLineChars="200"/>
        <w:jc w:val="left"/>
        <w:rPr>
          <w:rFonts w:ascii="仿宋_GB2312" w:eastAsia="仿宋_GB2312"/>
          <w:sz w:val="32"/>
          <w:szCs w:val="32"/>
        </w:rPr>
      </w:pPr>
      <w:r>
        <w:rPr>
          <w:rFonts w:hint="eastAsia" w:ascii="仿宋_GB2312" w:eastAsia="仿宋_GB2312"/>
          <w:sz w:val="32"/>
          <w:szCs w:val="32"/>
        </w:rPr>
        <w:t>2.节能环保支出（类）自然生态保护（款）草原生态修复治理（项）:支出决算数为193.71万元，比上年决算增加17.60万元，增长9.99%，主要原因是：单位本年林业草原生态恢复项目资金增加。</w:t>
      </w:r>
    </w:p>
    <w:p w14:paraId="694BE317">
      <w:pPr>
        <w:ind w:firstLine="640" w:firstLineChars="200"/>
        <w:jc w:val="left"/>
        <w:rPr>
          <w:rFonts w:ascii="仿宋_GB2312" w:eastAsia="仿宋_GB2312"/>
          <w:sz w:val="32"/>
          <w:szCs w:val="32"/>
        </w:rPr>
      </w:pPr>
      <w:r>
        <w:rPr>
          <w:rFonts w:hint="eastAsia" w:ascii="仿宋_GB2312" w:eastAsia="仿宋_GB2312"/>
          <w:sz w:val="32"/>
          <w:szCs w:val="32"/>
        </w:rPr>
        <w:t>3.住房保障支出（类）住房改革支出（款）住房公积金（项）:支出决算数为5.51万元，比上年决算增加3.85万元，增长232.93%，主要原因是：单位本年人员经费增加，相应公积金缴费增加。</w:t>
      </w:r>
    </w:p>
    <w:p w14:paraId="1F53E584">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4.社会保障和就业支出（类）抚恤（款）死亡抚恤（项）:支出决算数为1.15万元，比上年决算增加0.00万元，增长0.00%，主要原因是：与上年变动无差异。</w:t>
      </w:r>
    </w:p>
    <w:p w14:paraId="7098AB9A">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5.社会保障和就业支出（类）行政事业单位养老支出（款）事业单位离退休（项）:支出决算数为2.77万元，比上年决算增加2.77万元，增长100%，主要原因是：本年发放退休人员采暖费及独生子女费。</w:t>
      </w:r>
    </w:p>
    <w:p w14:paraId="2BFC2B0F">
      <w:pPr>
        <w:ind w:firstLine="640" w:firstLineChars="200"/>
        <w:jc w:val="left"/>
        <w:rPr>
          <w:rFonts w:ascii="仿宋_GB2312" w:eastAsia="仿宋_GB2312"/>
          <w:sz w:val="32"/>
          <w:szCs w:val="32"/>
        </w:rPr>
      </w:pPr>
      <w:r>
        <w:rPr>
          <w:rFonts w:hint="eastAsia" w:ascii="仿宋_GB2312" w:eastAsia="仿宋_GB2312"/>
          <w:sz w:val="32"/>
          <w:szCs w:val="32"/>
        </w:rPr>
        <w:t>6.农林水支出（类）其他农林水支出（款）其他农林水支出（项）:支出决算数为4.20万元，比上年决算增加4.20万元，增长100%，主要原因是：</w:t>
      </w:r>
      <w:r>
        <w:rPr>
          <w:rFonts w:hint="eastAsia" w:ascii="仿宋_GB2312" w:eastAsia="仿宋_GB2312"/>
          <w:sz w:val="32"/>
          <w:szCs w:val="32"/>
          <w:lang w:val="en-US" w:eastAsia="zh-CN"/>
        </w:rPr>
        <w:t>单位本年</w:t>
      </w:r>
      <w:r>
        <w:rPr>
          <w:rFonts w:hint="eastAsia" w:ascii="仿宋_GB2312" w:eastAsia="仿宋_GB2312"/>
          <w:sz w:val="32"/>
          <w:szCs w:val="32"/>
        </w:rPr>
        <w:t>草原植被恢复项目费用增加。</w:t>
      </w:r>
    </w:p>
    <w:p w14:paraId="040C9886">
      <w:pPr>
        <w:ind w:firstLine="640" w:firstLineChars="200"/>
        <w:jc w:val="left"/>
        <w:rPr>
          <w:rFonts w:ascii="仿宋_GB2312" w:eastAsia="仿宋_GB2312"/>
          <w:sz w:val="32"/>
          <w:szCs w:val="32"/>
        </w:rPr>
      </w:pPr>
      <w:r>
        <w:rPr>
          <w:rFonts w:hint="eastAsia" w:ascii="仿宋_GB2312" w:eastAsia="仿宋_GB2312"/>
          <w:sz w:val="32"/>
          <w:szCs w:val="32"/>
        </w:rPr>
        <w:t>7.农林水支出（类）农业农村（款）行政运行（项）:支出决算数为146.82万元，比上年决算增加146.82万元，增长100%，主要原因是：林业和草原生态修复项目经费增加。</w:t>
      </w:r>
    </w:p>
    <w:p w14:paraId="7243F763">
      <w:pPr>
        <w:ind w:firstLine="640" w:firstLineChars="200"/>
        <w:jc w:val="left"/>
        <w:rPr>
          <w:rFonts w:ascii="仿宋_GB2312" w:eastAsia="仿宋_GB2312"/>
          <w:sz w:val="32"/>
          <w:szCs w:val="32"/>
        </w:rPr>
      </w:pPr>
      <w:r>
        <w:rPr>
          <w:rFonts w:hint="eastAsia" w:ascii="仿宋_GB2312" w:eastAsia="仿宋_GB2312"/>
          <w:sz w:val="32"/>
          <w:szCs w:val="32"/>
        </w:rPr>
        <w:t>8.农林水支出（类）林业和草原（款）其他林业和草原支出（项）:支出决算数为400.67万元，比上年决算增加400.67万元，增长100%，主要原因是：本年中央林业改革发展项目资金增加。</w:t>
      </w:r>
    </w:p>
    <w:p w14:paraId="34767F56">
      <w:pPr>
        <w:ind w:firstLine="640" w:firstLineChars="200"/>
        <w:jc w:val="left"/>
        <w:rPr>
          <w:rFonts w:ascii="仿宋_GB2312" w:eastAsia="仿宋_GB2312"/>
          <w:sz w:val="32"/>
          <w:szCs w:val="32"/>
        </w:rPr>
      </w:pPr>
      <w:r>
        <w:rPr>
          <w:rFonts w:hint="eastAsia" w:ascii="仿宋_GB2312" w:eastAsia="仿宋_GB2312"/>
          <w:sz w:val="32"/>
          <w:szCs w:val="32"/>
        </w:rPr>
        <w:t>9.社会保障和就业支出（类）行政事业单位养老支出（款）机关事业单位基本养老保险缴费支出（项）:支出决算数为7.02万元，比上年决算减少0.93万元，下降11.70%，主要原因是：单位本年新进人员职级低，新进人员</w:t>
      </w:r>
      <w:r>
        <w:rPr>
          <w:rFonts w:hint="eastAsia" w:ascii="仿宋_GB2312" w:eastAsia="仿宋_GB2312"/>
          <w:sz w:val="32"/>
          <w:szCs w:val="32"/>
          <w:lang w:val="en-US" w:eastAsia="zh-CN"/>
        </w:rPr>
        <w:t>社保</w:t>
      </w:r>
      <w:r>
        <w:rPr>
          <w:rFonts w:hint="eastAsia" w:ascii="仿宋_GB2312" w:eastAsia="仿宋_GB2312"/>
          <w:sz w:val="32"/>
          <w:szCs w:val="32"/>
        </w:rPr>
        <w:t>缴费基数低，人员养老保险缴费减少。</w:t>
      </w:r>
    </w:p>
    <w:p w14:paraId="40FFCF26">
      <w:pPr>
        <w:ind w:firstLine="640" w:firstLineChars="200"/>
        <w:jc w:val="left"/>
        <w:rPr>
          <w:rFonts w:ascii="仿宋_GB2312" w:eastAsia="仿宋_GB2312"/>
          <w:sz w:val="32"/>
          <w:szCs w:val="32"/>
        </w:rPr>
      </w:pPr>
      <w:r>
        <w:rPr>
          <w:rFonts w:hint="eastAsia" w:ascii="仿宋_GB2312" w:eastAsia="仿宋_GB2312"/>
          <w:sz w:val="32"/>
          <w:szCs w:val="32"/>
        </w:rPr>
        <w:t>10.社会保障和就业支出（类）行政事业单位养老支出（款）机关事业单位职业年金缴费支出（项）:支出决算数为0.00万元，比上年决算减少5.05万元，下降100%，主要原因是：单位本年一次性职业年金</w:t>
      </w:r>
      <w:r>
        <w:rPr>
          <w:rFonts w:hint="eastAsia" w:ascii="仿宋_GB2312" w:eastAsia="仿宋_GB2312"/>
          <w:sz w:val="32"/>
          <w:szCs w:val="32"/>
          <w:lang w:val="en-US" w:eastAsia="zh-CN"/>
        </w:rPr>
        <w:t>缴费减少</w:t>
      </w:r>
      <w:r>
        <w:rPr>
          <w:rFonts w:hint="eastAsia" w:ascii="仿宋_GB2312" w:eastAsia="仿宋_GB2312"/>
          <w:sz w:val="32"/>
          <w:szCs w:val="32"/>
        </w:rPr>
        <w:t>。</w:t>
      </w:r>
    </w:p>
    <w:p w14:paraId="30BAB488">
      <w:pPr>
        <w:ind w:firstLine="640" w:firstLineChars="200"/>
        <w:jc w:val="left"/>
        <w:rPr>
          <w:rFonts w:ascii="仿宋_GB2312" w:eastAsia="仿宋_GB2312"/>
          <w:sz w:val="32"/>
          <w:szCs w:val="32"/>
        </w:rPr>
      </w:pPr>
      <w:r>
        <w:rPr>
          <w:rFonts w:hint="eastAsia" w:ascii="仿宋_GB2312" w:eastAsia="仿宋_GB2312"/>
          <w:sz w:val="32"/>
          <w:szCs w:val="32"/>
        </w:rPr>
        <w:t>11.其他支出（类）其他支出（款）其他支出（项）:支出决算数为0.00万元，比上年决算减少1.12万元，下降100%，主要原因是：单位本年</w:t>
      </w:r>
      <w:r>
        <w:rPr>
          <w:rFonts w:hint="eastAsia" w:ascii="仿宋_GB2312" w:eastAsia="仿宋_GB2312"/>
          <w:sz w:val="32"/>
          <w:szCs w:val="32"/>
          <w:lang w:val="en-US" w:eastAsia="zh-CN"/>
        </w:rPr>
        <w:t>人员</w:t>
      </w:r>
      <w:r>
        <w:rPr>
          <w:rFonts w:hint="eastAsia" w:ascii="仿宋_GB2312" w:eastAsia="仿宋_GB2312"/>
          <w:sz w:val="32"/>
          <w:szCs w:val="32"/>
        </w:rPr>
        <w:t>绩效奖</w:t>
      </w:r>
      <w:r>
        <w:rPr>
          <w:rFonts w:hint="eastAsia" w:ascii="仿宋_GB2312" w:eastAsia="仿宋_GB2312"/>
          <w:sz w:val="32"/>
          <w:szCs w:val="32"/>
          <w:lang w:val="en-US" w:eastAsia="zh-CN"/>
        </w:rPr>
        <w:t>金项目经费减少</w:t>
      </w:r>
      <w:r>
        <w:rPr>
          <w:rFonts w:hint="eastAsia" w:ascii="仿宋_GB2312" w:eastAsia="仿宋_GB2312"/>
          <w:sz w:val="32"/>
          <w:szCs w:val="32"/>
        </w:rPr>
        <w:t>。</w:t>
      </w:r>
    </w:p>
    <w:p w14:paraId="05AC831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462D362F">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245.81万元，其中：人员经费80.36万元，包括：基本工资、津贴补贴、奖金、机关事业单位基本养老保险缴费、职工基本医疗保险缴费、其他社会保障缴费、住房公积金、退休费、生活补助、奖励金。</w:t>
      </w:r>
    </w:p>
    <w:p w14:paraId="4F849173">
      <w:pPr>
        <w:ind w:firstLine="640" w:firstLineChars="200"/>
        <w:jc w:val="left"/>
        <w:rPr>
          <w:rFonts w:ascii="仿宋_GB2312" w:eastAsia="仿宋_GB2312"/>
          <w:sz w:val="32"/>
          <w:szCs w:val="32"/>
        </w:rPr>
      </w:pPr>
      <w:r>
        <w:rPr>
          <w:rFonts w:hint="eastAsia" w:ascii="仿宋_GB2312" w:eastAsia="仿宋_GB2312"/>
          <w:sz w:val="32"/>
          <w:szCs w:val="32"/>
        </w:rPr>
        <w:t>公用经费165.45万元，包括：办公费、水费、邮电费、取暖费、差旅费、委托业务费、公务用车运行维护费。</w:t>
      </w:r>
    </w:p>
    <w:p w14:paraId="2BCCC39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978576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“三公”经费支出0.58万元，</w:t>
      </w:r>
      <w:r>
        <w:rPr>
          <w:rFonts w:hint="eastAsia" w:ascii="仿宋_GB2312" w:eastAsia="仿宋_GB2312"/>
          <w:sz w:val="32"/>
          <w:szCs w:val="32"/>
        </w:rPr>
        <w:t>比上年</w:t>
      </w:r>
      <w:r>
        <w:rPr>
          <w:rFonts w:hint="eastAsia" w:ascii="仿宋_GB2312" w:eastAsia="仿宋_GB2312"/>
          <w:sz w:val="32"/>
          <w:szCs w:val="32"/>
          <w:lang w:val="zh-CN"/>
        </w:rPr>
        <w:t>增加0.58万元，</w:t>
      </w:r>
      <w:r>
        <w:rPr>
          <w:rFonts w:hint="eastAsia" w:ascii="仿宋_GB2312" w:eastAsia="仿宋_GB2312"/>
          <w:sz w:val="32"/>
          <w:szCs w:val="32"/>
        </w:rPr>
        <w:t>增长100.00%,</w:t>
      </w:r>
      <w:r>
        <w:rPr>
          <w:rFonts w:hint="eastAsia" w:ascii="仿宋_GB2312" w:eastAsia="仿宋_GB2312"/>
          <w:sz w:val="32"/>
          <w:szCs w:val="32"/>
          <w:lang w:val="zh-CN"/>
        </w:rPr>
        <w:t>主要原因是：本年车辆出行次数增加，车辆燃油费、维修费增加。其中：因公出国（境）费支出0.00万元，占0.00%，比上年增加0.00万元，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主要原因是：本年单位无此项经费；公务用车购置及运行维护费支出0.58万元，占100.00%，比上年增加0.58万元，</w:t>
      </w:r>
      <w:r>
        <w:rPr>
          <w:rFonts w:hint="eastAsia" w:ascii="仿宋_GB2312" w:eastAsia="仿宋_GB2312"/>
          <w:sz w:val="32"/>
          <w:szCs w:val="32"/>
        </w:rPr>
        <w:t>增长100.00%,</w:t>
      </w:r>
      <w:r>
        <w:rPr>
          <w:rFonts w:hint="eastAsia" w:ascii="仿宋_GB2312" w:eastAsia="仿宋_GB2312"/>
          <w:sz w:val="32"/>
          <w:szCs w:val="32"/>
          <w:lang w:val="zh-CN"/>
        </w:rPr>
        <w:t>主要原因是：本年车辆出行次数增加，车辆燃油费、维修费增加；公务接待费支出0.00万元，占0.00%，比上年增加0.00万元，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主要原因是：本年单位无此项经费。</w:t>
      </w:r>
    </w:p>
    <w:p w14:paraId="48BD618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4528B5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因公出国（境）费支出0.00万元，开支内容包括本年单位无此项经费。单位全年安排的因公出国（境）团组0个，因公出国（境）0人次。</w:t>
      </w:r>
    </w:p>
    <w:p w14:paraId="0DB7B37E">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0.58万元，其中：公务用车购置费0.00万元，公务用车运行维护费0.58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原因是：国有资产车辆与公务用车保有量无差异。</w:t>
      </w:r>
    </w:p>
    <w:p w14:paraId="5B6D8F0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公务接待费0.00万元，开支内容包括本年单位无此项经费。单位全年安排的国内公务接待0批次，0人次。</w:t>
      </w:r>
    </w:p>
    <w:p w14:paraId="15162BB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预算数0.58万元，决算数0.58万元，预决算差异率0.00%，主要原因是：预决算对比无差异。其中：因公出国（境）费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0.00万元，决算数0.00万元，预决算差异率0.00%，主要原因是：本年单位无此项经费；公务用车购置费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预算数0.58万元，决算数0.58万元，预决算差异率0.00%，主要原因是：预决算对比无差异；公务接待费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预算数0.00万元，决算数0.00万元，预决算差异率0.00%，主要原因是：本年单位无此项经费。</w:t>
      </w:r>
    </w:p>
    <w:p w14:paraId="0E96AE5F">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45AC252A">
      <w:pPr>
        <w:ind w:firstLine="640" w:firstLineChars="200"/>
        <w:jc w:val="left"/>
        <w:rPr>
          <w:rFonts w:ascii="仿宋_GB2312" w:eastAsia="仿宋_GB2312"/>
          <w:sz w:val="32"/>
          <w:szCs w:val="32"/>
        </w:rPr>
      </w:pPr>
      <w:r>
        <w:rPr>
          <w:rFonts w:hint="eastAsia" w:ascii="仿宋_GB2312" w:eastAsia="仿宋_GB2312"/>
          <w:sz w:val="32"/>
          <w:szCs w:val="32"/>
        </w:rPr>
        <w:t>2023年度政府性基金预算财政拨款收入总计82.87万元，其中：年初结转和结余0.00万元，本年收入82.87万元。政府性基金预算财政拨款支出总计82.87万元，其中：年末结转和结余0.00万元，本年支出82.87万元。</w:t>
      </w:r>
    </w:p>
    <w:p w14:paraId="781A8E00">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收入支出与上年相比，增加82.87万元,增长100.00%,主要原因是：单位本年草原生态修复项目资金增加。与年初预算相比,年初预算数0.00万元，决算数82.87万元，预决算差异率100.00%，主要原因是：本年追加草原生态修复项目资金。</w:t>
      </w:r>
    </w:p>
    <w:p w14:paraId="2DC69CB9">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政府性基金预算财政拨款支出82.87万元。</w:t>
      </w:r>
    </w:p>
    <w:p w14:paraId="37772F76">
      <w:pPr>
        <w:ind w:firstLine="640" w:firstLineChars="200"/>
        <w:jc w:val="left"/>
        <w:rPr>
          <w:rFonts w:ascii="仿宋_GB2312" w:eastAsia="仿宋_GB2312"/>
          <w:sz w:val="32"/>
          <w:szCs w:val="32"/>
        </w:rPr>
      </w:pPr>
      <w:r>
        <w:rPr>
          <w:rFonts w:hint="eastAsia" w:ascii="仿宋_GB2312" w:eastAsia="仿宋_GB2312"/>
          <w:sz w:val="32"/>
          <w:szCs w:val="32"/>
        </w:rPr>
        <w:t>1.城乡社区支出（类）国有土地使用权出让收入安排的支出（款）农业农村生态环境支出（项）:支出决算数为82.87万元，比上年决算增加82.87万元，增长100%，主要原因是：本年草原生态修复项目资金增加。</w:t>
      </w:r>
    </w:p>
    <w:p w14:paraId="72649BE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8BEE00A">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DA5ACBB">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07E07E9E">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4A663077">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2023年度木垒哈萨克自治县草原工作站（事业单位）公用经费支出165.45万元，比上年增加163.32万元，增长</w:t>
      </w:r>
      <w:r>
        <w:rPr>
          <w:rFonts w:hint="eastAsia" w:ascii="仿宋_GB2312" w:hAnsi="仿宋_GB2312" w:eastAsia="仿宋_GB2312" w:cs="仿宋_GB2312"/>
          <w:sz w:val="32"/>
          <w:szCs w:val="32"/>
          <w:lang w:val="zh-CN"/>
        </w:rPr>
        <w:t>7,667.61</w:t>
      </w:r>
      <w:r>
        <w:rPr>
          <w:rFonts w:hint="eastAsia" w:ascii="仿宋_GB2312" w:eastAsia="仿宋_GB2312"/>
          <w:sz w:val="32"/>
          <w:szCs w:val="32"/>
        </w:rPr>
        <w:t>%，主要原因是：单位本年办公费、委托业务费、公务用车运行维护费增加。</w:t>
      </w:r>
    </w:p>
    <w:p w14:paraId="4D5E207E">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2F1164C1">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2023年度政府采购支出总额22.05万元，其中：政府采购货物支出18.03万元、政府采购工程支出0.00万元、政府采购服务支出4.02万元。</w:t>
      </w:r>
    </w:p>
    <w:p w14:paraId="495317EE">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授予中小企业合同金额22.05万元，占政府采购支出总额的100.00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，其中：授予小微企业合同金额18.03万元，占政府采购支出总额的81.</w:t>
      </w:r>
      <w:r>
        <w:rPr>
          <w:rFonts w:hint="eastAsia" w:ascii="仿宋_GB2312" w:eastAsia="仿宋_GB2312"/>
          <w:sz w:val="32"/>
          <w:szCs w:val="32"/>
          <w:lang w:val="en-US" w:eastAsia="zh-CN"/>
        </w:rPr>
        <w:t>77</w:t>
      </w:r>
      <w:r>
        <w:rPr>
          <w:rFonts w:ascii="仿宋_GB2312" w:eastAsia="仿宋_GB2312"/>
          <w:sz w:val="32"/>
          <w:szCs w:val="32"/>
        </w:rPr>
        <w:t>%</w:t>
      </w:r>
      <w:r>
        <w:rPr>
          <w:rFonts w:hint="eastAsia" w:ascii="仿宋_GB2312" w:eastAsia="仿宋_GB2312"/>
          <w:sz w:val="32"/>
          <w:szCs w:val="32"/>
        </w:rPr>
        <w:t>。</w:t>
      </w:r>
    </w:p>
    <w:p w14:paraId="13C9DACF">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41DBE667">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截至2023年12月31日，固定资产原值36.85万元，房屋0.00方米，价值0.00万元。</w:t>
      </w:r>
      <w:bookmarkStart w:id="48" w:name="_GoBack"/>
      <w:bookmarkEnd w:id="48"/>
      <w:r>
        <w:rPr>
          <w:rFonts w:hint="eastAsia" w:ascii="仿宋_GB2312" w:eastAsia="仿宋_GB2312"/>
          <w:sz w:val="32"/>
          <w:szCs w:val="32"/>
        </w:rPr>
        <w:t>车辆1辆，价值8.90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2C22E7E5">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5226F3F0">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927.27</w:t>
      </w:r>
      <w:r>
        <w:rPr>
          <w:rFonts w:hint="eastAsia" w:ascii="仿宋_GB2312" w:eastAsia="仿宋_GB2312"/>
          <w:sz w:val="32"/>
          <w:szCs w:val="32"/>
        </w:rPr>
        <w:t>万元，实际执行总额</w:t>
      </w:r>
      <w:r>
        <w:rPr>
          <w:rFonts w:ascii="仿宋_GB2312" w:eastAsia="仿宋_GB2312"/>
          <w:sz w:val="32"/>
          <w:szCs w:val="32"/>
        </w:rPr>
        <w:t>927.27</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w:t>
      </w:r>
      <w:r>
        <w:rPr>
          <w:rFonts w:ascii="仿宋_GB2312" w:eastAsia="仿宋_GB2312"/>
          <w:sz w:val="32"/>
          <w:szCs w:val="32"/>
        </w:rPr>
        <w:t>201.00</w:t>
      </w:r>
      <w:r>
        <w:rPr>
          <w:rFonts w:hint="eastAsia" w:ascii="仿宋_GB2312" w:eastAsia="仿宋_GB2312"/>
          <w:sz w:val="32"/>
          <w:szCs w:val="32"/>
        </w:rPr>
        <w:t>万元，全年执行数</w:t>
      </w:r>
      <w:r>
        <w:rPr>
          <w:rFonts w:ascii="仿宋_GB2312" w:eastAsia="仿宋_GB2312"/>
          <w:sz w:val="32"/>
          <w:szCs w:val="32"/>
        </w:rPr>
        <w:t>201.00</w:t>
      </w:r>
      <w:r>
        <w:rPr>
          <w:rFonts w:hint="eastAsia" w:ascii="仿宋_GB2312" w:eastAsia="仿宋_GB2312"/>
          <w:sz w:val="32"/>
          <w:szCs w:val="32"/>
        </w:rPr>
        <w:t>万元。预算绩效管理取得的成效：一是</w:t>
      </w:r>
      <w:r>
        <w:rPr>
          <w:rFonts w:hint="eastAsia" w:ascii="仿宋_GB2312" w:hAnsi="宋体" w:eastAsia="仿宋_GB2312"/>
          <w:bCs/>
          <w:sz w:val="32"/>
          <w:szCs w:val="32"/>
        </w:rPr>
        <w:t>完成草原围栏建设</w:t>
      </w:r>
      <w:r>
        <w:rPr>
          <w:rFonts w:hint="eastAsia" w:ascii="仿宋_GB2312" w:eastAsia="仿宋_GB2312"/>
          <w:sz w:val="32"/>
          <w:szCs w:val="32"/>
        </w:rPr>
        <w:t>；二是</w:t>
      </w:r>
      <w:r>
        <w:rPr>
          <w:rFonts w:hint="eastAsia" w:ascii="仿宋_GB2312" w:hAnsi="宋体" w:eastAsia="仿宋_GB2312"/>
          <w:bCs/>
          <w:sz w:val="32"/>
          <w:szCs w:val="32"/>
        </w:rPr>
        <w:t>草原保护建设</w:t>
      </w:r>
      <w:r>
        <w:rPr>
          <w:rFonts w:hint="eastAsia" w:ascii="仿宋_GB2312" w:eastAsia="仿宋_GB2312"/>
          <w:sz w:val="32"/>
          <w:szCs w:val="32"/>
        </w:rPr>
        <w:t>。发现的问题及原因：一是</w:t>
      </w:r>
      <w:r>
        <w:rPr>
          <w:rFonts w:hint="eastAsia" w:ascii="仿宋_GB2312" w:hAnsi="宋体" w:eastAsia="仿宋_GB2312"/>
          <w:bCs/>
          <w:sz w:val="32"/>
          <w:szCs w:val="32"/>
        </w:rPr>
        <w:t>预算编制工作有待细化</w:t>
      </w:r>
      <w:r>
        <w:rPr>
          <w:rFonts w:hint="eastAsia" w:ascii="仿宋_GB2312" w:eastAsia="仿宋_GB2312"/>
          <w:sz w:val="32"/>
          <w:szCs w:val="32"/>
        </w:rPr>
        <w:t>；二是</w:t>
      </w:r>
      <w:r>
        <w:rPr>
          <w:rFonts w:hint="eastAsia" w:ascii="仿宋_GB2312" w:hAnsi="宋体" w:eastAsia="仿宋_GB2312"/>
          <w:bCs/>
          <w:sz w:val="32"/>
          <w:szCs w:val="32"/>
        </w:rPr>
        <w:t>因野外工作的难度和工作经费缺少问题，全县草原保护建设和草原生态改善没达到预期完成率</w:t>
      </w:r>
      <w:r>
        <w:rPr>
          <w:rFonts w:hint="eastAsia" w:ascii="仿宋_GB2312" w:eastAsia="仿宋_GB2312"/>
          <w:sz w:val="32"/>
          <w:szCs w:val="32"/>
        </w:rPr>
        <w:t>。下一步改进措施：一是做好预算细化</w:t>
      </w:r>
      <w:r>
        <w:rPr>
          <w:rFonts w:hint="eastAsia" w:ascii="仿宋_GB2312" w:hAnsi="宋体" w:eastAsia="仿宋_GB2312"/>
          <w:bCs/>
          <w:sz w:val="32"/>
          <w:szCs w:val="32"/>
        </w:rPr>
        <w:t>对相关人员加强培训</w:t>
      </w:r>
      <w:r>
        <w:rPr>
          <w:rFonts w:hint="eastAsia" w:ascii="仿宋_GB2312" w:eastAsia="仿宋_GB2312"/>
          <w:sz w:val="32"/>
          <w:szCs w:val="32"/>
        </w:rPr>
        <w:t>；二是合理安排野外作业人员工作。具体项目自评情况附绩效自评表及自评报告。</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1341"/>
        <w:gridCol w:w="1382"/>
        <w:gridCol w:w="1094"/>
        <w:gridCol w:w="1139"/>
        <w:gridCol w:w="827"/>
        <w:gridCol w:w="755"/>
        <w:gridCol w:w="486"/>
      </w:tblGrid>
      <w:tr w14:paraId="4A9A8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5000" w:type="pct"/>
            <w:gridSpan w:val="8"/>
            <w:shd w:val="clear" w:color="auto" w:fill="auto"/>
            <w:noWrap/>
            <w:vAlign w:val="center"/>
          </w:tcPr>
          <w:p w14:paraId="3B691D6C">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293BB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000" w:type="pct"/>
            <w:gridSpan w:val="8"/>
            <w:shd w:val="clear" w:color="auto" w:fill="auto"/>
            <w:noWrap/>
            <w:vAlign w:val="center"/>
          </w:tcPr>
          <w:p w14:paraId="261C5D80">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0A151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78" w:type="pct"/>
            <w:shd w:val="clear" w:color="auto" w:fill="auto"/>
            <w:noWrap/>
            <w:vAlign w:val="center"/>
          </w:tcPr>
          <w:p w14:paraId="73684FFA">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4121" w:type="pct"/>
            <w:gridSpan w:val="7"/>
            <w:shd w:val="clear" w:color="auto" w:fill="auto"/>
            <w:noWrap/>
            <w:vAlign w:val="center"/>
          </w:tcPr>
          <w:p w14:paraId="03D128C1">
            <w:pPr>
              <w:widowControl/>
              <w:jc w:val="center"/>
              <w:rPr>
                <w:rFonts w:hint="eastAsia" w:ascii="宋体" w:hAnsi="宋体" w:cs="宋体"/>
                <w:kern w:val="0"/>
                <w:sz w:val="20"/>
                <w:szCs w:val="20"/>
              </w:rPr>
            </w:pPr>
            <w:r>
              <w:rPr>
                <w:rFonts w:hint="eastAsia" w:ascii="宋体" w:hAnsi="宋体" w:cs="宋体"/>
                <w:kern w:val="0"/>
                <w:sz w:val="20"/>
                <w:szCs w:val="20"/>
              </w:rPr>
              <w:t>木垒县草原工作站</w:t>
            </w:r>
          </w:p>
        </w:tc>
      </w:tr>
      <w:tr w14:paraId="51765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78" w:type="pct"/>
            <w:vMerge w:val="restart"/>
            <w:shd w:val="clear" w:color="auto" w:fill="auto"/>
            <w:vAlign w:val="center"/>
          </w:tcPr>
          <w:p w14:paraId="66E7B12F">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786" w:type="pct"/>
            <w:shd w:val="clear" w:color="auto" w:fill="auto"/>
            <w:vAlign w:val="center"/>
          </w:tcPr>
          <w:p w14:paraId="61853E0D">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810" w:type="pct"/>
            <w:shd w:val="clear" w:color="auto" w:fill="auto"/>
            <w:vAlign w:val="center"/>
          </w:tcPr>
          <w:p w14:paraId="4FAA5ABA">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641" w:type="pct"/>
            <w:shd w:val="clear" w:color="auto" w:fill="auto"/>
            <w:vAlign w:val="center"/>
          </w:tcPr>
          <w:p w14:paraId="556781E3">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668" w:type="pct"/>
            <w:shd w:val="clear" w:color="auto" w:fill="auto"/>
            <w:vAlign w:val="center"/>
          </w:tcPr>
          <w:p w14:paraId="7EEEC604">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485" w:type="pct"/>
            <w:shd w:val="clear" w:color="auto" w:fill="auto"/>
            <w:vAlign w:val="center"/>
          </w:tcPr>
          <w:p w14:paraId="292F7E84">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442" w:type="pct"/>
            <w:shd w:val="clear" w:color="auto" w:fill="auto"/>
            <w:vAlign w:val="center"/>
          </w:tcPr>
          <w:p w14:paraId="1E15598F">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285" w:type="pct"/>
            <w:shd w:val="clear" w:color="auto" w:fill="auto"/>
            <w:vAlign w:val="center"/>
          </w:tcPr>
          <w:p w14:paraId="341980FE">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397E5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78" w:type="pct"/>
            <w:vMerge w:val="continue"/>
            <w:vAlign w:val="center"/>
          </w:tcPr>
          <w:p w14:paraId="435C540A">
            <w:pPr>
              <w:widowControl/>
              <w:jc w:val="left"/>
              <w:rPr>
                <w:rFonts w:hint="eastAsia" w:ascii="宋体" w:hAnsi="宋体" w:cs="宋体"/>
                <w:kern w:val="0"/>
                <w:sz w:val="20"/>
                <w:szCs w:val="20"/>
              </w:rPr>
            </w:pPr>
          </w:p>
        </w:tc>
        <w:tc>
          <w:tcPr>
            <w:tcW w:w="786" w:type="pct"/>
            <w:shd w:val="clear" w:color="auto" w:fill="auto"/>
            <w:noWrap/>
            <w:vAlign w:val="center"/>
          </w:tcPr>
          <w:p w14:paraId="4810E052">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810" w:type="pct"/>
            <w:shd w:val="clear" w:color="auto" w:fill="auto"/>
            <w:vAlign w:val="center"/>
          </w:tcPr>
          <w:p w14:paraId="4A7A77B7">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641" w:type="pct"/>
            <w:shd w:val="clear" w:color="auto" w:fill="auto"/>
            <w:vAlign w:val="center"/>
          </w:tcPr>
          <w:p w14:paraId="574F7DB9">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668" w:type="pct"/>
            <w:shd w:val="clear" w:color="auto" w:fill="auto"/>
            <w:vAlign w:val="center"/>
          </w:tcPr>
          <w:p w14:paraId="1F96FEAC">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485" w:type="pct"/>
            <w:shd w:val="clear" w:color="auto" w:fill="auto"/>
            <w:vAlign w:val="center"/>
          </w:tcPr>
          <w:p w14:paraId="7EB4C580">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42" w:type="pct"/>
            <w:shd w:val="clear" w:color="auto" w:fill="auto"/>
            <w:vAlign w:val="center"/>
          </w:tcPr>
          <w:p w14:paraId="7809C877">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285" w:type="pct"/>
            <w:shd w:val="clear" w:color="auto" w:fill="auto"/>
            <w:vAlign w:val="center"/>
          </w:tcPr>
          <w:p w14:paraId="2A5C7EEF">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7CB04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78" w:type="pct"/>
            <w:vMerge w:val="continue"/>
            <w:vAlign w:val="center"/>
          </w:tcPr>
          <w:p w14:paraId="3F6221B6">
            <w:pPr>
              <w:widowControl/>
              <w:jc w:val="left"/>
              <w:rPr>
                <w:rFonts w:hint="eastAsia" w:ascii="宋体" w:hAnsi="宋体" w:cs="宋体"/>
                <w:kern w:val="0"/>
                <w:sz w:val="20"/>
                <w:szCs w:val="20"/>
              </w:rPr>
            </w:pPr>
          </w:p>
        </w:tc>
        <w:tc>
          <w:tcPr>
            <w:tcW w:w="786" w:type="pct"/>
            <w:shd w:val="clear" w:color="auto" w:fill="auto"/>
            <w:vAlign w:val="center"/>
          </w:tcPr>
          <w:p w14:paraId="32B414B7">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810" w:type="pct"/>
            <w:shd w:val="clear" w:color="auto" w:fill="auto"/>
            <w:vAlign w:val="center"/>
          </w:tcPr>
          <w:p w14:paraId="418B82E7">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641" w:type="pct"/>
            <w:shd w:val="clear" w:color="auto" w:fill="auto"/>
            <w:vAlign w:val="center"/>
          </w:tcPr>
          <w:p w14:paraId="2029AA44">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668" w:type="pct"/>
            <w:shd w:val="clear" w:color="auto" w:fill="auto"/>
            <w:vAlign w:val="center"/>
          </w:tcPr>
          <w:p w14:paraId="7975BE14">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485" w:type="pct"/>
            <w:shd w:val="clear" w:color="auto" w:fill="auto"/>
            <w:vAlign w:val="center"/>
          </w:tcPr>
          <w:p w14:paraId="3509FB2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42" w:type="pct"/>
            <w:shd w:val="clear" w:color="auto" w:fill="auto"/>
            <w:vAlign w:val="center"/>
          </w:tcPr>
          <w:p w14:paraId="5AF3F03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285" w:type="pct"/>
            <w:shd w:val="clear" w:color="auto" w:fill="auto"/>
            <w:vAlign w:val="center"/>
          </w:tcPr>
          <w:p w14:paraId="5B523B0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6319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78" w:type="pct"/>
            <w:vMerge w:val="continue"/>
            <w:vAlign w:val="center"/>
          </w:tcPr>
          <w:p w14:paraId="114E44F3">
            <w:pPr>
              <w:widowControl/>
              <w:jc w:val="left"/>
              <w:rPr>
                <w:rFonts w:hint="eastAsia" w:ascii="宋体" w:hAnsi="宋体" w:cs="宋体"/>
                <w:kern w:val="0"/>
                <w:sz w:val="20"/>
                <w:szCs w:val="20"/>
              </w:rPr>
            </w:pPr>
          </w:p>
        </w:tc>
        <w:tc>
          <w:tcPr>
            <w:tcW w:w="786" w:type="pct"/>
            <w:shd w:val="clear" w:color="auto" w:fill="auto"/>
            <w:vAlign w:val="center"/>
          </w:tcPr>
          <w:p w14:paraId="02B7EB88">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810" w:type="pct"/>
            <w:shd w:val="clear" w:color="auto" w:fill="auto"/>
            <w:vAlign w:val="center"/>
          </w:tcPr>
          <w:p w14:paraId="64D37E4C">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641" w:type="pct"/>
            <w:shd w:val="clear" w:color="auto" w:fill="auto"/>
            <w:vAlign w:val="center"/>
          </w:tcPr>
          <w:p w14:paraId="20A104CD">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668" w:type="pct"/>
            <w:shd w:val="clear" w:color="auto" w:fill="auto"/>
            <w:vAlign w:val="center"/>
          </w:tcPr>
          <w:p w14:paraId="5C41F91F">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485" w:type="pct"/>
            <w:shd w:val="clear" w:color="auto" w:fill="auto"/>
            <w:vAlign w:val="center"/>
          </w:tcPr>
          <w:p w14:paraId="69FF137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42" w:type="pct"/>
            <w:shd w:val="clear" w:color="auto" w:fill="auto"/>
            <w:vAlign w:val="center"/>
          </w:tcPr>
          <w:p w14:paraId="799BC4E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285" w:type="pct"/>
            <w:shd w:val="clear" w:color="auto" w:fill="auto"/>
            <w:vAlign w:val="center"/>
          </w:tcPr>
          <w:p w14:paraId="67DEB779">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9712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78" w:type="pct"/>
            <w:vMerge w:val="continue"/>
            <w:vAlign w:val="center"/>
          </w:tcPr>
          <w:p w14:paraId="17308D89">
            <w:pPr>
              <w:widowControl/>
              <w:jc w:val="left"/>
              <w:rPr>
                <w:rFonts w:hint="eastAsia" w:ascii="宋体" w:hAnsi="宋体" w:cs="宋体"/>
                <w:kern w:val="0"/>
                <w:sz w:val="20"/>
                <w:szCs w:val="20"/>
              </w:rPr>
            </w:pPr>
          </w:p>
        </w:tc>
        <w:tc>
          <w:tcPr>
            <w:tcW w:w="786" w:type="pct"/>
            <w:shd w:val="clear" w:color="auto" w:fill="auto"/>
            <w:vAlign w:val="center"/>
          </w:tcPr>
          <w:p w14:paraId="3CB28AE0">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810" w:type="pct"/>
            <w:shd w:val="clear" w:color="auto" w:fill="auto"/>
            <w:vAlign w:val="center"/>
          </w:tcPr>
          <w:p w14:paraId="28867F81">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81.99</w:t>
            </w:r>
          </w:p>
        </w:tc>
        <w:tc>
          <w:tcPr>
            <w:tcW w:w="641" w:type="pct"/>
            <w:shd w:val="clear" w:color="auto" w:fill="auto"/>
            <w:vAlign w:val="center"/>
          </w:tcPr>
          <w:p w14:paraId="4AD64052">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927.27</w:t>
            </w:r>
          </w:p>
        </w:tc>
        <w:tc>
          <w:tcPr>
            <w:tcW w:w="668" w:type="pct"/>
            <w:shd w:val="clear" w:color="auto" w:fill="auto"/>
            <w:vAlign w:val="center"/>
          </w:tcPr>
          <w:p w14:paraId="186E5612">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927.27</w:t>
            </w:r>
          </w:p>
        </w:tc>
        <w:tc>
          <w:tcPr>
            <w:tcW w:w="485" w:type="pct"/>
            <w:shd w:val="clear" w:color="auto" w:fill="auto"/>
            <w:vAlign w:val="center"/>
          </w:tcPr>
          <w:p w14:paraId="5BE8A09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42" w:type="pct"/>
            <w:shd w:val="clear" w:color="auto" w:fill="auto"/>
            <w:vAlign w:val="center"/>
          </w:tcPr>
          <w:p w14:paraId="0664C51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285" w:type="pct"/>
            <w:shd w:val="clear" w:color="auto" w:fill="auto"/>
            <w:vAlign w:val="center"/>
          </w:tcPr>
          <w:p w14:paraId="62E9410B">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E769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78" w:type="pct"/>
            <w:vMerge w:val="continue"/>
            <w:vAlign w:val="center"/>
          </w:tcPr>
          <w:p w14:paraId="74D91EFD">
            <w:pPr>
              <w:widowControl/>
              <w:jc w:val="left"/>
              <w:rPr>
                <w:rFonts w:hint="eastAsia" w:ascii="宋体" w:hAnsi="宋体" w:cs="宋体"/>
                <w:kern w:val="0"/>
                <w:sz w:val="20"/>
                <w:szCs w:val="20"/>
              </w:rPr>
            </w:pPr>
          </w:p>
        </w:tc>
        <w:tc>
          <w:tcPr>
            <w:tcW w:w="786" w:type="pct"/>
            <w:shd w:val="clear" w:color="auto" w:fill="auto"/>
            <w:vAlign w:val="center"/>
          </w:tcPr>
          <w:p w14:paraId="4886B703">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810" w:type="pct"/>
            <w:shd w:val="clear" w:color="auto" w:fill="auto"/>
            <w:vAlign w:val="center"/>
          </w:tcPr>
          <w:p w14:paraId="7327C587">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641" w:type="pct"/>
            <w:shd w:val="clear" w:color="auto" w:fill="auto"/>
            <w:vAlign w:val="center"/>
          </w:tcPr>
          <w:p w14:paraId="57D1CB45">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668" w:type="pct"/>
            <w:shd w:val="clear" w:color="auto" w:fill="auto"/>
            <w:vAlign w:val="center"/>
          </w:tcPr>
          <w:p w14:paraId="26700064">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485" w:type="pct"/>
            <w:shd w:val="clear" w:color="auto" w:fill="auto"/>
            <w:vAlign w:val="center"/>
          </w:tcPr>
          <w:p w14:paraId="31CBCC8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42" w:type="pct"/>
            <w:shd w:val="clear" w:color="auto" w:fill="auto"/>
            <w:vAlign w:val="center"/>
          </w:tcPr>
          <w:p w14:paraId="727131F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285" w:type="pct"/>
            <w:shd w:val="clear" w:color="auto" w:fill="auto"/>
            <w:vAlign w:val="center"/>
          </w:tcPr>
          <w:p w14:paraId="7B9717B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4B1F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78" w:type="pct"/>
            <w:vMerge w:val="continue"/>
            <w:vAlign w:val="center"/>
          </w:tcPr>
          <w:p w14:paraId="56BCEE47">
            <w:pPr>
              <w:widowControl/>
              <w:jc w:val="left"/>
              <w:rPr>
                <w:rFonts w:hint="eastAsia" w:ascii="宋体" w:hAnsi="宋体" w:cs="宋体"/>
                <w:kern w:val="0"/>
                <w:sz w:val="20"/>
                <w:szCs w:val="20"/>
              </w:rPr>
            </w:pPr>
          </w:p>
        </w:tc>
        <w:tc>
          <w:tcPr>
            <w:tcW w:w="786" w:type="pct"/>
            <w:shd w:val="clear" w:color="auto" w:fill="auto"/>
            <w:vAlign w:val="center"/>
          </w:tcPr>
          <w:p w14:paraId="290DF7D4">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810" w:type="pct"/>
            <w:shd w:val="clear" w:color="auto" w:fill="auto"/>
            <w:vAlign w:val="center"/>
          </w:tcPr>
          <w:p w14:paraId="17E95849">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81.99</w:t>
            </w:r>
          </w:p>
        </w:tc>
        <w:tc>
          <w:tcPr>
            <w:tcW w:w="641" w:type="pct"/>
            <w:shd w:val="clear" w:color="auto" w:fill="auto"/>
            <w:vAlign w:val="center"/>
          </w:tcPr>
          <w:p w14:paraId="6DEC9AF2">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927.27</w:t>
            </w:r>
          </w:p>
        </w:tc>
        <w:tc>
          <w:tcPr>
            <w:tcW w:w="668" w:type="pct"/>
            <w:shd w:val="clear" w:color="auto" w:fill="auto"/>
            <w:vAlign w:val="center"/>
          </w:tcPr>
          <w:p w14:paraId="2901191F">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927.27</w:t>
            </w:r>
          </w:p>
        </w:tc>
        <w:tc>
          <w:tcPr>
            <w:tcW w:w="485" w:type="pct"/>
            <w:shd w:val="clear" w:color="auto" w:fill="auto"/>
            <w:vAlign w:val="center"/>
          </w:tcPr>
          <w:p w14:paraId="2A2D809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42" w:type="pct"/>
            <w:shd w:val="clear" w:color="auto" w:fill="auto"/>
            <w:vAlign w:val="center"/>
          </w:tcPr>
          <w:p w14:paraId="2EAC1CB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285" w:type="pct"/>
            <w:shd w:val="clear" w:color="auto" w:fill="auto"/>
            <w:vAlign w:val="center"/>
          </w:tcPr>
          <w:p w14:paraId="1BD77BB8">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B75B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878" w:type="pct"/>
            <w:vMerge w:val="restart"/>
            <w:shd w:val="clear" w:color="auto" w:fill="auto"/>
            <w:vAlign w:val="center"/>
          </w:tcPr>
          <w:p w14:paraId="2B05F1FD">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2239" w:type="pct"/>
            <w:gridSpan w:val="3"/>
            <w:shd w:val="clear" w:color="auto" w:fill="auto"/>
            <w:noWrap/>
            <w:vAlign w:val="center"/>
          </w:tcPr>
          <w:p w14:paraId="1E213567">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1881" w:type="pct"/>
            <w:gridSpan w:val="4"/>
            <w:shd w:val="clear" w:color="auto" w:fill="auto"/>
            <w:noWrap/>
            <w:vAlign w:val="center"/>
          </w:tcPr>
          <w:p w14:paraId="7B0A769F">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25D9F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878" w:type="pct"/>
            <w:vMerge w:val="continue"/>
            <w:vAlign w:val="center"/>
          </w:tcPr>
          <w:p w14:paraId="4E5B7557">
            <w:pPr>
              <w:widowControl/>
              <w:jc w:val="left"/>
              <w:rPr>
                <w:rFonts w:hint="eastAsia" w:ascii="宋体" w:hAnsi="宋体" w:cs="宋体"/>
                <w:kern w:val="0"/>
                <w:sz w:val="20"/>
                <w:szCs w:val="20"/>
              </w:rPr>
            </w:pPr>
          </w:p>
        </w:tc>
        <w:tc>
          <w:tcPr>
            <w:tcW w:w="2239" w:type="pct"/>
            <w:gridSpan w:val="3"/>
            <w:shd w:val="clear" w:color="auto" w:fill="auto"/>
            <w:vAlign w:val="center"/>
          </w:tcPr>
          <w:p w14:paraId="25B169C4">
            <w:pPr>
              <w:widowControl/>
              <w:jc w:val="center"/>
              <w:rPr>
                <w:rFonts w:hint="eastAsia" w:ascii="宋体" w:hAnsi="宋体" w:cs="宋体"/>
                <w:kern w:val="0"/>
                <w:sz w:val="20"/>
                <w:szCs w:val="20"/>
              </w:rPr>
            </w:pPr>
            <w:r>
              <w:rPr>
                <w:rFonts w:hint="eastAsia" w:ascii="宋体" w:hAnsi="宋体" w:cs="宋体"/>
                <w:kern w:val="0"/>
                <w:sz w:val="20"/>
                <w:szCs w:val="20"/>
              </w:rPr>
              <w:t>目标1：保障草原站各项工作圆满完成。</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目标2：保障全县草原保护建设工作顺利开展，指导农牧民义务保护水平提高。</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目标3：保障持续推进林草恢复和草原生态保护工作。</w:t>
            </w:r>
          </w:p>
        </w:tc>
        <w:tc>
          <w:tcPr>
            <w:tcW w:w="1881" w:type="pct"/>
            <w:gridSpan w:val="4"/>
            <w:shd w:val="clear" w:color="auto" w:fill="auto"/>
            <w:vAlign w:val="center"/>
          </w:tcPr>
          <w:p w14:paraId="223351E8">
            <w:pPr>
              <w:widowControl/>
              <w:jc w:val="center"/>
              <w:rPr>
                <w:rFonts w:hint="eastAsia" w:ascii="宋体" w:hAnsi="宋体" w:cs="宋体"/>
                <w:kern w:val="0"/>
                <w:sz w:val="20"/>
                <w:szCs w:val="20"/>
              </w:rPr>
            </w:pPr>
            <w:r>
              <w:rPr>
                <w:rFonts w:hint="eastAsia" w:ascii="宋体" w:hAnsi="宋体" w:cs="宋体"/>
                <w:kern w:val="0"/>
                <w:sz w:val="20"/>
                <w:szCs w:val="20"/>
              </w:rPr>
              <w:t>截止本次自评节点，我单位已完成了蝗虫鼠害防治4次，完成草原围栏建设10公里。保障了全县草原保护建设工作顺利开展，指导了农牧民义务保护水平提高。持续推进了林草恢复和草原生态保护工作。</w:t>
            </w:r>
          </w:p>
        </w:tc>
      </w:tr>
      <w:tr w14:paraId="678FC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78" w:type="pct"/>
            <w:shd w:val="clear" w:color="auto" w:fill="auto"/>
            <w:vAlign w:val="center"/>
          </w:tcPr>
          <w:p w14:paraId="353D8039">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786" w:type="pct"/>
            <w:shd w:val="clear" w:color="auto" w:fill="auto"/>
            <w:vAlign w:val="center"/>
          </w:tcPr>
          <w:p w14:paraId="136CE8F8">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810" w:type="pct"/>
            <w:shd w:val="clear" w:color="auto" w:fill="auto"/>
            <w:vAlign w:val="center"/>
          </w:tcPr>
          <w:p w14:paraId="543238E6">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641" w:type="pct"/>
            <w:shd w:val="clear" w:color="auto" w:fill="auto"/>
            <w:vAlign w:val="center"/>
          </w:tcPr>
          <w:p w14:paraId="25BDC259">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668" w:type="pct"/>
            <w:shd w:val="clear" w:color="auto" w:fill="auto"/>
            <w:vAlign w:val="center"/>
          </w:tcPr>
          <w:p w14:paraId="7BD58E4B">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485" w:type="pct"/>
            <w:shd w:val="clear" w:color="auto" w:fill="auto"/>
            <w:vAlign w:val="center"/>
          </w:tcPr>
          <w:p w14:paraId="4AC0DBC4">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442" w:type="pct"/>
            <w:shd w:val="clear" w:color="auto" w:fill="auto"/>
            <w:vAlign w:val="center"/>
          </w:tcPr>
          <w:p w14:paraId="63BBC63E">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285" w:type="pct"/>
            <w:shd w:val="clear" w:color="auto" w:fill="auto"/>
            <w:vAlign w:val="center"/>
          </w:tcPr>
          <w:p w14:paraId="35B122C6">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61D73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8" w:type="pct"/>
            <w:vMerge w:val="restart"/>
            <w:shd w:val="clear" w:color="auto" w:fill="auto"/>
            <w:vAlign w:val="center"/>
          </w:tcPr>
          <w:p w14:paraId="130A36F4">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786" w:type="pct"/>
            <w:vMerge w:val="restart"/>
            <w:shd w:val="clear" w:color="auto" w:fill="auto"/>
            <w:vAlign w:val="center"/>
          </w:tcPr>
          <w:p w14:paraId="09EADBD3">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810" w:type="pct"/>
            <w:shd w:val="clear" w:color="auto" w:fill="auto"/>
            <w:vAlign w:val="center"/>
          </w:tcPr>
          <w:p w14:paraId="11FFF570">
            <w:pPr>
              <w:widowControl/>
              <w:jc w:val="center"/>
              <w:rPr>
                <w:rFonts w:hint="eastAsia" w:ascii="宋体" w:hAnsi="宋体" w:cs="宋体"/>
                <w:kern w:val="0"/>
                <w:sz w:val="20"/>
                <w:szCs w:val="20"/>
              </w:rPr>
            </w:pPr>
            <w:r>
              <w:rPr>
                <w:rFonts w:hint="eastAsia" w:ascii="宋体" w:hAnsi="宋体" w:cs="宋体"/>
                <w:kern w:val="0"/>
                <w:sz w:val="20"/>
                <w:szCs w:val="20"/>
              </w:rPr>
              <w:t>人员工资、社保、住房发放人数</w:t>
            </w:r>
          </w:p>
        </w:tc>
        <w:tc>
          <w:tcPr>
            <w:tcW w:w="641" w:type="pct"/>
            <w:shd w:val="clear" w:color="auto" w:fill="auto"/>
            <w:vAlign w:val="center"/>
          </w:tcPr>
          <w:p w14:paraId="23777D9D">
            <w:pPr>
              <w:widowControl/>
              <w:jc w:val="center"/>
              <w:rPr>
                <w:rFonts w:hint="eastAsia" w:ascii="宋体" w:hAnsi="宋体" w:cs="宋体"/>
                <w:kern w:val="0"/>
                <w:sz w:val="20"/>
                <w:szCs w:val="20"/>
              </w:rPr>
            </w:pPr>
            <w:r>
              <w:rPr>
                <w:rFonts w:hint="eastAsia" w:ascii="宋体" w:hAnsi="宋体" w:cs="宋体"/>
                <w:kern w:val="0"/>
                <w:sz w:val="20"/>
                <w:szCs w:val="20"/>
              </w:rPr>
              <w:t>&gt;=4人</w:t>
            </w:r>
          </w:p>
        </w:tc>
        <w:tc>
          <w:tcPr>
            <w:tcW w:w="668" w:type="pct"/>
            <w:shd w:val="clear" w:color="auto" w:fill="auto"/>
            <w:vAlign w:val="center"/>
          </w:tcPr>
          <w:p w14:paraId="3A1AC528">
            <w:pPr>
              <w:widowControl/>
              <w:jc w:val="center"/>
              <w:rPr>
                <w:rFonts w:hint="eastAsia" w:ascii="宋体" w:hAnsi="宋体" w:cs="宋体"/>
                <w:kern w:val="0"/>
                <w:sz w:val="20"/>
                <w:szCs w:val="20"/>
              </w:rPr>
            </w:pPr>
            <w:r>
              <w:rPr>
                <w:rFonts w:hint="eastAsia" w:ascii="宋体" w:hAnsi="宋体" w:cs="宋体"/>
                <w:kern w:val="0"/>
                <w:sz w:val="20"/>
                <w:szCs w:val="20"/>
              </w:rPr>
              <w:t>2023年预算</w:t>
            </w:r>
          </w:p>
        </w:tc>
        <w:tc>
          <w:tcPr>
            <w:tcW w:w="485" w:type="pct"/>
            <w:shd w:val="clear" w:color="auto" w:fill="auto"/>
            <w:vAlign w:val="center"/>
          </w:tcPr>
          <w:p w14:paraId="300A5032">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442" w:type="pct"/>
            <w:shd w:val="clear" w:color="auto" w:fill="auto"/>
            <w:vAlign w:val="center"/>
          </w:tcPr>
          <w:p w14:paraId="16B35EA4">
            <w:pPr>
              <w:widowControl/>
              <w:jc w:val="center"/>
              <w:rPr>
                <w:rFonts w:hint="eastAsia" w:ascii="宋体" w:hAnsi="宋体" w:cs="宋体"/>
                <w:kern w:val="0"/>
                <w:sz w:val="20"/>
                <w:szCs w:val="20"/>
              </w:rPr>
            </w:pPr>
            <w:r>
              <w:rPr>
                <w:rFonts w:hint="eastAsia" w:ascii="宋体" w:hAnsi="宋体" w:cs="宋体"/>
                <w:kern w:val="0"/>
                <w:sz w:val="20"/>
                <w:szCs w:val="20"/>
              </w:rPr>
              <w:t>4人</w:t>
            </w:r>
          </w:p>
        </w:tc>
        <w:tc>
          <w:tcPr>
            <w:tcW w:w="285" w:type="pct"/>
            <w:shd w:val="clear" w:color="auto" w:fill="auto"/>
            <w:vAlign w:val="center"/>
          </w:tcPr>
          <w:p w14:paraId="7A427033">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4025C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8" w:type="pct"/>
            <w:vMerge w:val="continue"/>
            <w:vAlign w:val="center"/>
          </w:tcPr>
          <w:p w14:paraId="197EE247">
            <w:pPr>
              <w:widowControl/>
              <w:jc w:val="left"/>
              <w:rPr>
                <w:rFonts w:hint="eastAsia" w:ascii="宋体" w:hAnsi="宋体" w:cs="宋体"/>
                <w:kern w:val="0"/>
                <w:sz w:val="20"/>
                <w:szCs w:val="20"/>
              </w:rPr>
            </w:pPr>
          </w:p>
        </w:tc>
        <w:tc>
          <w:tcPr>
            <w:tcW w:w="786" w:type="pct"/>
            <w:vMerge w:val="continue"/>
            <w:vAlign w:val="center"/>
          </w:tcPr>
          <w:p w14:paraId="33BB7564">
            <w:pPr>
              <w:widowControl/>
              <w:jc w:val="left"/>
              <w:rPr>
                <w:rFonts w:hint="eastAsia" w:ascii="宋体" w:hAnsi="宋体" w:cs="宋体"/>
                <w:kern w:val="0"/>
                <w:sz w:val="20"/>
                <w:szCs w:val="20"/>
              </w:rPr>
            </w:pPr>
          </w:p>
        </w:tc>
        <w:tc>
          <w:tcPr>
            <w:tcW w:w="810" w:type="pct"/>
            <w:shd w:val="clear" w:color="auto" w:fill="auto"/>
            <w:vAlign w:val="center"/>
          </w:tcPr>
          <w:p w14:paraId="39934EA0">
            <w:pPr>
              <w:widowControl/>
              <w:jc w:val="center"/>
              <w:rPr>
                <w:rFonts w:hint="eastAsia" w:ascii="宋体" w:hAnsi="宋体" w:cs="宋体"/>
                <w:kern w:val="0"/>
                <w:sz w:val="20"/>
                <w:szCs w:val="20"/>
              </w:rPr>
            </w:pPr>
            <w:r>
              <w:rPr>
                <w:rFonts w:hint="eastAsia" w:ascii="宋体" w:hAnsi="宋体" w:cs="宋体"/>
                <w:kern w:val="0"/>
                <w:sz w:val="20"/>
                <w:szCs w:val="20"/>
              </w:rPr>
              <w:t>公务保障用车数量</w:t>
            </w:r>
          </w:p>
        </w:tc>
        <w:tc>
          <w:tcPr>
            <w:tcW w:w="641" w:type="pct"/>
            <w:shd w:val="clear" w:color="auto" w:fill="auto"/>
            <w:vAlign w:val="center"/>
          </w:tcPr>
          <w:p w14:paraId="633C2D09">
            <w:pPr>
              <w:widowControl/>
              <w:jc w:val="center"/>
              <w:rPr>
                <w:rFonts w:hint="eastAsia" w:ascii="宋体" w:hAnsi="宋体" w:cs="宋体"/>
                <w:kern w:val="0"/>
                <w:sz w:val="20"/>
                <w:szCs w:val="20"/>
              </w:rPr>
            </w:pPr>
            <w:r>
              <w:rPr>
                <w:rFonts w:hint="eastAsia" w:ascii="宋体" w:hAnsi="宋体" w:cs="宋体"/>
                <w:kern w:val="0"/>
                <w:sz w:val="20"/>
                <w:szCs w:val="20"/>
              </w:rPr>
              <w:t>&gt;=1辆</w:t>
            </w:r>
          </w:p>
        </w:tc>
        <w:tc>
          <w:tcPr>
            <w:tcW w:w="668" w:type="pct"/>
            <w:shd w:val="clear" w:color="auto" w:fill="auto"/>
            <w:vAlign w:val="center"/>
          </w:tcPr>
          <w:p w14:paraId="1698951A">
            <w:pPr>
              <w:widowControl/>
              <w:jc w:val="center"/>
              <w:rPr>
                <w:rFonts w:hint="eastAsia" w:ascii="宋体" w:hAnsi="宋体" w:cs="宋体"/>
                <w:kern w:val="0"/>
                <w:sz w:val="20"/>
                <w:szCs w:val="20"/>
              </w:rPr>
            </w:pPr>
            <w:r>
              <w:rPr>
                <w:rFonts w:hint="eastAsia" w:ascii="宋体" w:hAnsi="宋体" w:cs="宋体"/>
                <w:kern w:val="0"/>
                <w:sz w:val="20"/>
                <w:szCs w:val="20"/>
              </w:rPr>
              <w:t>2023年预算</w:t>
            </w:r>
          </w:p>
        </w:tc>
        <w:tc>
          <w:tcPr>
            <w:tcW w:w="485" w:type="pct"/>
            <w:shd w:val="clear" w:color="auto" w:fill="auto"/>
            <w:vAlign w:val="center"/>
          </w:tcPr>
          <w:p w14:paraId="769CD052">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442" w:type="pct"/>
            <w:shd w:val="clear" w:color="auto" w:fill="auto"/>
            <w:vAlign w:val="center"/>
          </w:tcPr>
          <w:p w14:paraId="78F0DDBC">
            <w:pPr>
              <w:widowControl/>
              <w:jc w:val="center"/>
              <w:rPr>
                <w:rFonts w:hint="eastAsia" w:ascii="宋体" w:hAnsi="宋体" w:cs="宋体"/>
                <w:kern w:val="0"/>
                <w:sz w:val="20"/>
                <w:szCs w:val="20"/>
              </w:rPr>
            </w:pPr>
            <w:r>
              <w:rPr>
                <w:rFonts w:hint="eastAsia" w:ascii="宋体" w:hAnsi="宋体" w:cs="宋体"/>
                <w:kern w:val="0"/>
                <w:sz w:val="20"/>
                <w:szCs w:val="20"/>
              </w:rPr>
              <w:t>1辆</w:t>
            </w:r>
          </w:p>
        </w:tc>
        <w:tc>
          <w:tcPr>
            <w:tcW w:w="285" w:type="pct"/>
            <w:shd w:val="clear" w:color="auto" w:fill="auto"/>
            <w:vAlign w:val="center"/>
          </w:tcPr>
          <w:p w14:paraId="4B77708E">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01C9D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8" w:type="pct"/>
            <w:vMerge w:val="continue"/>
            <w:vAlign w:val="center"/>
          </w:tcPr>
          <w:p w14:paraId="04BAE177">
            <w:pPr>
              <w:widowControl/>
              <w:jc w:val="left"/>
              <w:rPr>
                <w:rFonts w:hint="eastAsia" w:ascii="宋体" w:hAnsi="宋体" w:cs="宋体"/>
                <w:kern w:val="0"/>
                <w:sz w:val="20"/>
                <w:szCs w:val="20"/>
              </w:rPr>
            </w:pPr>
          </w:p>
        </w:tc>
        <w:tc>
          <w:tcPr>
            <w:tcW w:w="786" w:type="pct"/>
            <w:shd w:val="clear" w:color="auto" w:fill="auto"/>
            <w:vAlign w:val="center"/>
          </w:tcPr>
          <w:p w14:paraId="1068439D">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810" w:type="pct"/>
            <w:shd w:val="clear" w:color="auto" w:fill="auto"/>
            <w:vAlign w:val="center"/>
          </w:tcPr>
          <w:p w14:paraId="0AF6860D">
            <w:pPr>
              <w:widowControl/>
              <w:jc w:val="center"/>
              <w:rPr>
                <w:rFonts w:hint="eastAsia" w:ascii="宋体" w:hAnsi="宋体" w:cs="宋体"/>
                <w:kern w:val="0"/>
                <w:sz w:val="20"/>
                <w:szCs w:val="20"/>
              </w:rPr>
            </w:pPr>
            <w:r>
              <w:rPr>
                <w:rFonts w:hint="eastAsia" w:ascii="宋体" w:hAnsi="宋体" w:cs="宋体"/>
                <w:kern w:val="0"/>
                <w:sz w:val="20"/>
                <w:szCs w:val="20"/>
              </w:rPr>
              <w:t>公用经费支付及时率</w:t>
            </w:r>
          </w:p>
        </w:tc>
        <w:tc>
          <w:tcPr>
            <w:tcW w:w="641" w:type="pct"/>
            <w:shd w:val="clear" w:color="auto" w:fill="auto"/>
            <w:vAlign w:val="center"/>
          </w:tcPr>
          <w:p w14:paraId="2E81540D">
            <w:pPr>
              <w:widowControl/>
              <w:jc w:val="center"/>
              <w:rPr>
                <w:rFonts w:hint="eastAsia" w:ascii="宋体" w:hAnsi="宋体" w:cs="宋体"/>
                <w:kern w:val="0"/>
                <w:sz w:val="20"/>
                <w:szCs w:val="20"/>
              </w:rPr>
            </w:pPr>
            <w:r>
              <w:rPr>
                <w:rFonts w:hint="eastAsia" w:ascii="宋体" w:hAnsi="宋体" w:cs="宋体"/>
                <w:kern w:val="0"/>
                <w:sz w:val="20"/>
                <w:szCs w:val="20"/>
              </w:rPr>
              <w:t>&gt;99百分率</w:t>
            </w:r>
          </w:p>
        </w:tc>
        <w:tc>
          <w:tcPr>
            <w:tcW w:w="668" w:type="pct"/>
            <w:shd w:val="clear" w:color="auto" w:fill="auto"/>
            <w:vAlign w:val="center"/>
          </w:tcPr>
          <w:p w14:paraId="32823A75">
            <w:pPr>
              <w:widowControl/>
              <w:jc w:val="center"/>
              <w:rPr>
                <w:rFonts w:hint="eastAsia" w:ascii="宋体" w:hAnsi="宋体" w:cs="宋体"/>
                <w:kern w:val="0"/>
                <w:sz w:val="20"/>
                <w:szCs w:val="20"/>
              </w:rPr>
            </w:pPr>
            <w:r>
              <w:rPr>
                <w:rFonts w:hint="eastAsia" w:ascii="宋体" w:hAnsi="宋体" w:cs="宋体"/>
                <w:kern w:val="0"/>
                <w:sz w:val="20"/>
                <w:szCs w:val="20"/>
              </w:rPr>
              <w:t>2023年预算</w:t>
            </w:r>
          </w:p>
        </w:tc>
        <w:tc>
          <w:tcPr>
            <w:tcW w:w="485" w:type="pct"/>
            <w:shd w:val="clear" w:color="auto" w:fill="auto"/>
            <w:vAlign w:val="center"/>
          </w:tcPr>
          <w:p w14:paraId="49097C23">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442" w:type="pct"/>
            <w:shd w:val="clear" w:color="auto" w:fill="auto"/>
            <w:vAlign w:val="center"/>
          </w:tcPr>
          <w:p w14:paraId="0BEC1832">
            <w:pPr>
              <w:widowControl/>
              <w:jc w:val="center"/>
              <w:rPr>
                <w:rFonts w:hint="eastAsia" w:ascii="宋体" w:hAnsi="宋体" w:cs="宋体"/>
                <w:kern w:val="0"/>
                <w:sz w:val="20"/>
                <w:szCs w:val="20"/>
              </w:rPr>
            </w:pPr>
            <w:r>
              <w:rPr>
                <w:rFonts w:hint="eastAsia" w:ascii="宋体" w:hAnsi="宋体" w:cs="宋体"/>
                <w:kern w:val="0"/>
                <w:sz w:val="20"/>
                <w:szCs w:val="20"/>
              </w:rPr>
              <w:t>99%</w:t>
            </w:r>
          </w:p>
        </w:tc>
        <w:tc>
          <w:tcPr>
            <w:tcW w:w="285" w:type="pct"/>
            <w:shd w:val="clear" w:color="auto" w:fill="auto"/>
            <w:vAlign w:val="center"/>
          </w:tcPr>
          <w:p w14:paraId="7B68E298">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3AD9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8" w:type="pct"/>
            <w:vMerge w:val="continue"/>
            <w:vAlign w:val="center"/>
          </w:tcPr>
          <w:p w14:paraId="373330EB">
            <w:pPr>
              <w:widowControl/>
              <w:jc w:val="left"/>
              <w:rPr>
                <w:rFonts w:hint="eastAsia" w:ascii="宋体" w:hAnsi="宋体" w:cs="宋体"/>
                <w:kern w:val="0"/>
                <w:sz w:val="20"/>
                <w:szCs w:val="20"/>
              </w:rPr>
            </w:pPr>
          </w:p>
        </w:tc>
        <w:tc>
          <w:tcPr>
            <w:tcW w:w="786" w:type="pct"/>
            <w:shd w:val="clear" w:color="auto" w:fill="auto"/>
            <w:vAlign w:val="center"/>
          </w:tcPr>
          <w:p w14:paraId="41E878BF">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810" w:type="pct"/>
            <w:shd w:val="clear" w:color="auto" w:fill="auto"/>
            <w:vAlign w:val="center"/>
          </w:tcPr>
          <w:p w14:paraId="0E6D0BE9">
            <w:pPr>
              <w:widowControl/>
              <w:jc w:val="center"/>
              <w:rPr>
                <w:rFonts w:hint="eastAsia" w:ascii="宋体" w:hAnsi="宋体" w:cs="宋体"/>
                <w:kern w:val="0"/>
                <w:sz w:val="20"/>
                <w:szCs w:val="20"/>
              </w:rPr>
            </w:pPr>
            <w:r>
              <w:rPr>
                <w:rFonts w:hint="eastAsia" w:ascii="宋体" w:hAnsi="宋体" w:cs="宋体"/>
                <w:kern w:val="0"/>
                <w:sz w:val="20"/>
                <w:szCs w:val="20"/>
              </w:rPr>
              <w:t>单位正常运转率</w:t>
            </w:r>
          </w:p>
        </w:tc>
        <w:tc>
          <w:tcPr>
            <w:tcW w:w="641" w:type="pct"/>
            <w:shd w:val="clear" w:color="auto" w:fill="auto"/>
            <w:vAlign w:val="center"/>
          </w:tcPr>
          <w:p w14:paraId="086E98EE">
            <w:pPr>
              <w:widowControl/>
              <w:jc w:val="center"/>
              <w:rPr>
                <w:rFonts w:hint="eastAsia" w:ascii="宋体" w:hAnsi="宋体" w:cs="宋体"/>
                <w:kern w:val="0"/>
                <w:sz w:val="20"/>
                <w:szCs w:val="20"/>
              </w:rPr>
            </w:pPr>
            <w:r>
              <w:rPr>
                <w:rFonts w:hint="eastAsia" w:ascii="宋体" w:hAnsi="宋体" w:cs="宋体"/>
                <w:kern w:val="0"/>
                <w:sz w:val="20"/>
                <w:szCs w:val="20"/>
              </w:rPr>
              <w:t>=100百分率</w:t>
            </w:r>
          </w:p>
        </w:tc>
        <w:tc>
          <w:tcPr>
            <w:tcW w:w="668" w:type="pct"/>
            <w:shd w:val="clear" w:color="auto" w:fill="auto"/>
            <w:vAlign w:val="center"/>
          </w:tcPr>
          <w:p w14:paraId="15ED872E">
            <w:pPr>
              <w:widowControl/>
              <w:jc w:val="center"/>
              <w:rPr>
                <w:rFonts w:hint="eastAsia" w:ascii="宋体" w:hAnsi="宋体" w:cs="宋体"/>
                <w:kern w:val="0"/>
                <w:sz w:val="20"/>
                <w:szCs w:val="20"/>
              </w:rPr>
            </w:pPr>
            <w:r>
              <w:rPr>
                <w:rFonts w:hint="eastAsia" w:ascii="宋体" w:hAnsi="宋体" w:cs="宋体"/>
                <w:kern w:val="0"/>
                <w:sz w:val="20"/>
                <w:szCs w:val="20"/>
              </w:rPr>
              <w:t>2023年预算</w:t>
            </w:r>
          </w:p>
        </w:tc>
        <w:tc>
          <w:tcPr>
            <w:tcW w:w="485" w:type="pct"/>
            <w:shd w:val="clear" w:color="auto" w:fill="auto"/>
            <w:vAlign w:val="center"/>
          </w:tcPr>
          <w:p w14:paraId="5467A356">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442" w:type="pct"/>
            <w:shd w:val="clear" w:color="auto" w:fill="auto"/>
            <w:vAlign w:val="center"/>
          </w:tcPr>
          <w:p w14:paraId="26F1F9DA">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285" w:type="pct"/>
            <w:shd w:val="clear" w:color="auto" w:fill="auto"/>
            <w:vAlign w:val="center"/>
          </w:tcPr>
          <w:p w14:paraId="2C0AF158">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3661A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8" w:type="pct"/>
            <w:vMerge w:val="restart"/>
            <w:shd w:val="clear" w:color="auto" w:fill="auto"/>
            <w:vAlign w:val="center"/>
          </w:tcPr>
          <w:p w14:paraId="59DB38D9">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786" w:type="pct"/>
            <w:vMerge w:val="restart"/>
            <w:shd w:val="clear" w:color="auto" w:fill="auto"/>
            <w:vAlign w:val="center"/>
          </w:tcPr>
          <w:p w14:paraId="4A20BD44">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810" w:type="pct"/>
            <w:shd w:val="clear" w:color="auto" w:fill="auto"/>
            <w:vAlign w:val="center"/>
          </w:tcPr>
          <w:p w14:paraId="6509AAC6">
            <w:pPr>
              <w:widowControl/>
              <w:jc w:val="center"/>
              <w:rPr>
                <w:rFonts w:hint="eastAsia" w:ascii="宋体" w:hAnsi="宋体" w:cs="宋体"/>
                <w:kern w:val="0"/>
                <w:sz w:val="20"/>
                <w:szCs w:val="20"/>
              </w:rPr>
            </w:pPr>
            <w:r>
              <w:rPr>
                <w:rFonts w:hint="eastAsia" w:ascii="宋体" w:hAnsi="宋体" w:cs="宋体"/>
                <w:kern w:val="0"/>
                <w:sz w:val="20"/>
                <w:szCs w:val="20"/>
              </w:rPr>
              <w:t>完成蝗虫鼠害防治</w:t>
            </w:r>
          </w:p>
        </w:tc>
        <w:tc>
          <w:tcPr>
            <w:tcW w:w="641" w:type="pct"/>
            <w:shd w:val="clear" w:color="auto" w:fill="auto"/>
            <w:vAlign w:val="center"/>
          </w:tcPr>
          <w:p w14:paraId="3EE95C4D">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668" w:type="pct"/>
            <w:shd w:val="clear" w:color="auto" w:fill="auto"/>
            <w:vAlign w:val="center"/>
          </w:tcPr>
          <w:p w14:paraId="1986BECE">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485" w:type="pct"/>
            <w:shd w:val="clear" w:color="auto" w:fill="auto"/>
            <w:vAlign w:val="center"/>
          </w:tcPr>
          <w:p w14:paraId="6152AD97">
            <w:pPr>
              <w:widowControl/>
              <w:jc w:val="center"/>
              <w:rPr>
                <w:rFonts w:hint="eastAsia" w:ascii="宋体" w:hAnsi="宋体" w:cs="宋体"/>
                <w:kern w:val="0"/>
                <w:sz w:val="20"/>
                <w:szCs w:val="20"/>
              </w:rPr>
            </w:pPr>
            <w:r>
              <w:rPr>
                <w:rFonts w:hint="eastAsia" w:ascii="宋体" w:hAnsi="宋体" w:cs="宋体"/>
                <w:kern w:val="0"/>
                <w:sz w:val="20"/>
                <w:szCs w:val="20"/>
              </w:rPr>
              <w:t>9</w:t>
            </w:r>
          </w:p>
        </w:tc>
        <w:tc>
          <w:tcPr>
            <w:tcW w:w="442" w:type="pct"/>
            <w:shd w:val="clear" w:color="auto" w:fill="auto"/>
            <w:vAlign w:val="center"/>
          </w:tcPr>
          <w:p w14:paraId="3BDA6202">
            <w:pPr>
              <w:widowControl/>
              <w:jc w:val="center"/>
              <w:rPr>
                <w:rFonts w:hint="eastAsia" w:ascii="宋体" w:hAnsi="宋体" w:cs="宋体"/>
                <w:kern w:val="0"/>
                <w:sz w:val="20"/>
                <w:szCs w:val="20"/>
              </w:rPr>
            </w:pPr>
            <w:r>
              <w:rPr>
                <w:rFonts w:hint="eastAsia" w:ascii="宋体" w:hAnsi="宋体" w:cs="宋体"/>
                <w:kern w:val="0"/>
                <w:sz w:val="20"/>
                <w:szCs w:val="20"/>
              </w:rPr>
              <w:t>4次</w:t>
            </w:r>
          </w:p>
        </w:tc>
        <w:tc>
          <w:tcPr>
            <w:tcW w:w="285" w:type="pct"/>
            <w:shd w:val="clear" w:color="auto" w:fill="auto"/>
            <w:vAlign w:val="center"/>
          </w:tcPr>
          <w:p w14:paraId="43EEACA2">
            <w:pPr>
              <w:widowControl/>
              <w:jc w:val="center"/>
              <w:rPr>
                <w:rFonts w:hint="eastAsia" w:ascii="宋体" w:hAnsi="宋体" w:cs="宋体"/>
                <w:kern w:val="0"/>
                <w:sz w:val="20"/>
                <w:szCs w:val="20"/>
              </w:rPr>
            </w:pPr>
            <w:r>
              <w:rPr>
                <w:rFonts w:hint="eastAsia" w:ascii="宋体" w:hAnsi="宋体" w:cs="宋体"/>
                <w:kern w:val="0"/>
                <w:sz w:val="20"/>
                <w:szCs w:val="20"/>
              </w:rPr>
              <w:t>9</w:t>
            </w:r>
          </w:p>
        </w:tc>
      </w:tr>
      <w:tr w14:paraId="78A44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8" w:type="pct"/>
            <w:vMerge w:val="continue"/>
            <w:vAlign w:val="center"/>
          </w:tcPr>
          <w:p w14:paraId="5C79C4CE">
            <w:pPr>
              <w:widowControl/>
              <w:jc w:val="left"/>
              <w:rPr>
                <w:rFonts w:hint="eastAsia" w:ascii="宋体" w:hAnsi="宋体" w:cs="宋体"/>
                <w:kern w:val="0"/>
                <w:sz w:val="20"/>
                <w:szCs w:val="20"/>
              </w:rPr>
            </w:pPr>
          </w:p>
        </w:tc>
        <w:tc>
          <w:tcPr>
            <w:tcW w:w="786" w:type="pct"/>
            <w:vMerge w:val="continue"/>
            <w:vAlign w:val="center"/>
          </w:tcPr>
          <w:p w14:paraId="467FF07F">
            <w:pPr>
              <w:widowControl/>
              <w:jc w:val="left"/>
              <w:rPr>
                <w:rFonts w:hint="eastAsia" w:ascii="宋体" w:hAnsi="宋体" w:cs="宋体"/>
                <w:kern w:val="0"/>
                <w:sz w:val="20"/>
                <w:szCs w:val="20"/>
              </w:rPr>
            </w:pPr>
          </w:p>
        </w:tc>
        <w:tc>
          <w:tcPr>
            <w:tcW w:w="810" w:type="pct"/>
            <w:shd w:val="clear" w:color="auto" w:fill="auto"/>
            <w:noWrap/>
            <w:vAlign w:val="center"/>
          </w:tcPr>
          <w:p w14:paraId="353A13ED">
            <w:pPr>
              <w:widowControl/>
              <w:jc w:val="left"/>
              <w:rPr>
                <w:rFonts w:hint="eastAsia" w:ascii="宋体" w:hAnsi="宋体" w:cs="宋体"/>
                <w:kern w:val="0"/>
                <w:sz w:val="20"/>
                <w:szCs w:val="20"/>
              </w:rPr>
            </w:pPr>
            <w:r>
              <w:rPr>
                <w:rFonts w:hint="eastAsia" w:ascii="宋体" w:hAnsi="宋体" w:cs="宋体"/>
                <w:kern w:val="0"/>
                <w:sz w:val="20"/>
                <w:szCs w:val="20"/>
              </w:rPr>
              <w:t>完成草原围栏建设</w:t>
            </w:r>
          </w:p>
        </w:tc>
        <w:tc>
          <w:tcPr>
            <w:tcW w:w="641" w:type="pct"/>
            <w:shd w:val="clear" w:color="auto" w:fill="auto"/>
            <w:noWrap/>
            <w:vAlign w:val="center"/>
          </w:tcPr>
          <w:p w14:paraId="101B3222">
            <w:pPr>
              <w:widowControl/>
              <w:jc w:val="left"/>
              <w:rPr>
                <w:rFonts w:hint="eastAsia" w:ascii="宋体" w:hAnsi="宋体" w:cs="宋体"/>
                <w:kern w:val="0"/>
                <w:sz w:val="20"/>
                <w:szCs w:val="20"/>
              </w:rPr>
            </w:pPr>
            <w:r>
              <w:rPr>
                <w:rFonts w:hint="eastAsia" w:ascii="宋体" w:hAnsi="宋体" w:cs="宋体"/>
                <w:kern w:val="0"/>
                <w:sz w:val="20"/>
                <w:szCs w:val="20"/>
              </w:rPr>
              <w:t>&gt;10公里</w:t>
            </w:r>
          </w:p>
        </w:tc>
        <w:tc>
          <w:tcPr>
            <w:tcW w:w="668" w:type="pct"/>
            <w:shd w:val="clear" w:color="auto" w:fill="auto"/>
            <w:noWrap/>
            <w:vAlign w:val="center"/>
          </w:tcPr>
          <w:p w14:paraId="7E5EFD51">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485" w:type="pct"/>
            <w:shd w:val="clear" w:color="auto" w:fill="auto"/>
            <w:noWrap/>
            <w:vAlign w:val="center"/>
          </w:tcPr>
          <w:p w14:paraId="1D290AC2">
            <w:pPr>
              <w:widowControl/>
              <w:jc w:val="left"/>
              <w:rPr>
                <w:rFonts w:hint="eastAsia" w:ascii="宋体" w:hAnsi="宋体" w:cs="宋体"/>
                <w:kern w:val="0"/>
                <w:sz w:val="20"/>
                <w:szCs w:val="20"/>
              </w:rPr>
            </w:pPr>
            <w:r>
              <w:rPr>
                <w:rFonts w:hint="eastAsia" w:ascii="宋体" w:hAnsi="宋体" w:cs="宋体"/>
                <w:kern w:val="0"/>
                <w:sz w:val="20"/>
                <w:szCs w:val="20"/>
              </w:rPr>
              <w:t>9</w:t>
            </w:r>
          </w:p>
        </w:tc>
        <w:tc>
          <w:tcPr>
            <w:tcW w:w="442" w:type="pct"/>
            <w:shd w:val="clear" w:color="auto" w:fill="auto"/>
            <w:noWrap/>
            <w:vAlign w:val="center"/>
          </w:tcPr>
          <w:p w14:paraId="4A8E718B">
            <w:pPr>
              <w:widowControl/>
              <w:jc w:val="left"/>
              <w:rPr>
                <w:rFonts w:hint="eastAsia" w:ascii="宋体" w:hAnsi="宋体" w:cs="宋体"/>
                <w:kern w:val="0"/>
                <w:sz w:val="20"/>
                <w:szCs w:val="20"/>
              </w:rPr>
            </w:pPr>
            <w:r>
              <w:rPr>
                <w:rFonts w:hint="eastAsia" w:ascii="宋体" w:hAnsi="宋体" w:cs="宋体"/>
                <w:kern w:val="0"/>
                <w:sz w:val="20"/>
                <w:szCs w:val="20"/>
              </w:rPr>
              <w:t>10公里</w:t>
            </w:r>
          </w:p>
        </w:tc>
        <w:tc>
          <w:tcPr>
            <w:tcW w:w="285" w:type="pct"/>
            <w:shd w:val="clear" w:color="auto" w:fill="auto"/>
            <w:noWrap/>
            <w:vAlign w:val="center"/>
          </w:tcPr>
          <w:p w14:paraId="55A6BCC2">
            <w:pPr>
              <w:widowControl/>
              <w:jc w:val="left"/>
              <w:rPr>
                <w:rFonts w:hint="eastAsia" w:ascii="宋体" w:hAnsi="宋体" w:cs="宋体"/>
                <w:kern w:val="0"/>
                <w:sz w:val="20"/>
                <w:szCs w:val="20"/>
              </w:rPr>
            </w:pPr>
            <w:r>
              <w:rPr>
                <w:rFonts w:hint="eastAsia" w:ascii="宋体" w:hAnsi="宋体" w:cs="宋体"/>
                <w:kern w:val="0"/>
                <w:sz w:val="20"/>
                <w:szCs w:val="20"/>
              </w:rPr>
              <w:t>9</w:t>
            </w:r>
          </w:p>
        </w:tc>
      </w:tr>
      <w:tr w14:paraId="5ECB4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8" w:type="pct"/>
            <w:vMerge w:val="continue"/>
            <w:vAlign w:val="center"/>
          </w:tcPr>
          <w:p w14:paraId="506FFD52">
            <w:pPr>
              <w:widowControl/>
              <w:jc w:val="left"/>
              <w:rPr>
                <w:rFonts w:hint="eastAsia" w:ascii="宋体" w:hAnsi="宋体" w:cs="宋体"/>
                <w:kern w:val="0"/>
                <w:sz w:val="20"/>
                <w:szCs w:val="20"/>
              </w:rPr>
            </w:pPr>
          </w:p>
        </w:tc>
        <w:tc>
          <w:tcPr>
            <w:tcW w:w="786" w:type="pct"/>
            <w:vMerge w:val="restart"/>
            <w:shd w:val="clear" w:color="auto" w:fill="auto"/>
            <w:noWrap/>
            <w:vAlign w:val="center"/>
          </w:tcPr>
          <w:p w14:paraId="73560821">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810" w:type="pct"/>
            <w:shd w:val="clear" w:color="auto" w:fill="auto"/>
            <w:noWrap/>
            <w:vAlign w:val="center"/>
          </w:tcPr>
          <w:p w14:paraId="4682D5EB">
            <w:pPr>
              <w:widowControl/>
              <w:jc w:val="left"/>
              <w:rPr>
                <w:rFonts w:hint="eastAsia" w:ascii="宋体" w:hAnsi="宋体" w:cs="宋体"/>
                <w:kern w:val="0"/>
                <w:sz w:val="20"/>
                <w:szCs w:val="20"/>
              </w:rPr>
            </w:pPr>
            <w:r>
              <w:rPr>
                <w:rFonts w:hint="eastAsia" w:ascii="宋体" w:hAnsi="宋体" w:cs="宋体"/>
                <w:kern w:val="0"/>
                <w:sz w:val="20"/>
                <w:szCs w:val="20"/>
              </w:rPr>
              <w:t>草原保护围栏建设合格率</w:t>
            </w:r>
          </w:p>
        </w:tc>
        <w:tc>
          <w:tcPr>
            <w:tcW w:w="641" w:type="pct"/>
            <w:shd w:val="clear" w:color="auto" w:fill="auto"/>
            <w:noWrap/>
            <w:vAlign w:val="center"/>
          </w:tcPr>
          <w:p w14:paraId="245582FF">
            <w:pPr>
              <w:widowControl/>
              <w:jc w:val="left"/>
              <w:rPr>
                <w:rFonts w:hint="eastAsia" w:ascii="宋体" w:hAnsi="宋体" w:cs="宋体"/>
                <w:kern w:val="0"/>
                <w:sz w:val="20"/>
                <w:szCs w:val="20"/>
              </w:rPr>
            </w:pPr>
            <w:r>
              <w:rPr>
                <w:rFonts w:hint="eastAsia" w:ascii="宋体" w:hAnsi="宋体" w:cs="宋体"/>
                <w:kern w:val="0"/>
                <w:sz w:val="20"/>
                <w:szCs w:val="20"/>
              </w:rPr>
              <w:t>&gt;90百分率</w:t>
            </w:r>
          </w:p>
        </w:tc>
        <w:tc>
          <w:tcPr>
            <w:tcW w:w="668" w:type="pct"/>
            <w:shd w:val="clear" w:color="auto" w:fill="auto"/>
            <w:noWrap/>
            <w:vAlign w:val="center"/>
          </w:tcPr>
          <w:p w14:paraId="7F8F3651">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485" w:type="pct"/>
            <w:shd w:val="clear" w:color="auto" w:fill="auto"/>
            <w:noWrap/>
            <w:vAlign w:val="center"/>
          </w:tcPr>
          <w:p w14:paraId="3423BEC8">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442" w:type="pct"/>
            <w:shd w:val="clear" w:color="auto" w:fill="auto"/>
            <w:noWrap/>
            <w:vAlign w:val="center"/>
          </w:tcPr>
          <w:p w14:paraId="5A5AD426">
            <w:pPr>
              <w:widowControl/>
              <w:jc w:val="left"/>
              <w:rPr>
                <w:rFonts w:hint="eastAsia" w:ascii="宋体" w:hAnsi="宋体" w:cs="宋体"/>
                <w:kern w:val="0"/>
                <w:sz w:val="20"/>
                <w:szCs w:val="20"/>
              </w:rPr>
            </w:pPr>
            <w:r>
              <w:rPr>
                <w:rFonts w:hint="eastAsia" w:ascii="宋体" w:hAnsi="宋体" w:cs="宋体"/>
                <w:kern w:val="0"/>
                <w:sz w:val="20"/>
                <w:szCs w:val="20"/>
              </w:rPr>
              <w:t>90%</w:t>
            </w:r>
          </w:p>
        </w:tc>
        <w:tc>
          <w:tcPr>
            <w:tcW w:w="285" w:type="pct"/>
            <w:shd w:val="clear" w:color="auto" w:fill="auto"/>
            <w:noWrap/>
            <w:vAlign w:val="center"/>
          </w:tcPr>
          <w:p w14:paraId="6989994F">
            <w:pPr>
              <w:widowControl/>
              <w:jc w:val="left"/>
              <w:rPr>
                <w:rFonts w:hint="eastAsia" w:ascii="宋体" w:hAnsi="宋体" w:cs="宋体"/>
                <w:kern w:val="0"/>
                <w:sz w:val="20"/>
                <w:szCs w:val="20"/>
              </w:rPr>
            </w:pPr>
            <w:r>
              <w:rPr>
                <w:rFonts w:hint="eastAsia" w:ascii="宋体" w:hAnsi="宋体" w:cs="宋体"/>
                <w:kern w:val="0"/>
                <w:sz w:val="20"/>
                <w:szCs w:val="20"/>
              </w:rPr>
              <w:t>8</w:t>
            </w:r>
          </w:p>
        </w:tc>
      </w:tr>
      <w:tr w14:paraId="3740A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8" w:type="pct"/>
            <w:vMerge w:val="restart"/>
            <w:shd w:val="clear" w:color="auto" w:fill="auto"/>
            <w:noWrap/>
            <w:vAlign w:val="center"/>
          </w:tcPr>
          <w:p w14:paraId="38798252">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786" w:type="pct"/>
            <w:vMerge w:val="continue"/>
            <w:vAlign w:val="center"/>
          </w:tcPr>
          <w:p w14:paraId="28895BFB">
            <w:pPr>
              <w:widowControl/>
              <w:jc w:val="left"/>
              <w:rPr>
                <w:rFonts w:hint="eastAsia" w:ascii="宋体" w:hAnsi="宋体" w:cs="宋体"/>
                <w:kern w:val="0"/>
                <w:sz w:val="20"/>
                <w:szCs w:val="20"/>
              </w:rPr>
            </w:pPr>
          </w:p>
        </w:tc>
        <w:tc>
          <w:tcPr>
            <w:tcW w:w="810" w:type="pct"/>
            <w:shd w:val="clear" w:color="auto" w:fill="auto"/>
            <w:noWrap/>
            <w:vAlign w:val="center"/>
          </w:tcPr>
          <w:p w14:paraId="389A7E02">
            <w:pPr>
              <w:widowControl/>
              <w:jc w:val="left"/>
              <w:rPr>
                <w:rFonts w:hint="eastAsia" w:ascii="宋体" w:hAnsi="宋体" w:cs="宋体"/>
                <w:kern w:val="0"/>
                <w:sz w:val="20"/>
                <w:szCs w:val="20"/>
              </w:rPr>
            </w:pPr>
            <w:r>
              <w:rPr>
                <w:rFonts w:hint="eastAsia" w:ascii="宋体" w:hAnsi="宋体" w:cs="宋体"/>
                <w:kern w:val="0"/>
                <w:sz w:val="20"/>
                <w:szCs w:val="20"/>
              </w:rPr>
              <w:t>草场覆盖率</w:t>
            </w:r>
          </w:p>
        </w:tc>
        <w:tc>
          <w:tcPr>
            <w:tcW w:w="641" w:type="pct"/>
            <w:shd w:val="clear" w:color="auto" w:fill="auto"/>
            <w:noWrap/>
            <w:vAlign w:val="center"/>
          </w:tcPr>
          <w:p w14:paraId="19E0D3B1">
            <w:pPr>
              <w:widowControl/>
              <w:jc w:val="left"/>
              <w:rPr>
                <w:rFonts w:hint="eastAsia" w:ascii="宋体" w:hAnsi="宋体" w:cs="宋体"/>
                <w:kern w:val="0"/>
                <w:sz w:val="20"/>
                <w:szCs w:val="20"/>
              </w:rPr>
            </w:pPr>
            <w:r>
              <w:rPr>
                <w:rFonts w:hint="eastAsia" w:ascii="宋体" w:hAnsi="宋体" w:cs="宋体"/>
                <w:kern w:val="0"/>
                <w:sz w:val="20"/>
                <w:szCs w:val="20"/>
              </w:rPr>
              <w:t>&gt;80百分率</w:t>
            </w:r>
          </w:p>
        </w:tc>
        <w:tc>
          <w:tcPr>
            <w:tcW w:w="668" w:type="pct"/>
            <w:shd w:val="clear" w:color="auto" w:fill="auto"/>
            <w:noWrap/>
            <w:vAlign w:val="center"/>
          </w:tcPr>
          <w:p w14:paraId="6125F348">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485" w:type="pct"/>
            <w:shd w:val="clear" w:color="auto" w:fill="auto"/>
            <w:noWrap/>
            <w:vAlign w:val="center"/>
          </w:tcPr>
          <w:p w14:paraId="07F30406">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442" w:type="pct"/>
            <w:shd w:val="clear" w:color="auto" w:fill="auto"/>
            <w:noWrap/>
            <w:vAlign w:val="center"/>
          </w:tcPr>
          <w:p w14:paraId="10EE1F1E">
            <w:pPr>
              <w:widowControl/>
              <w:jc w:val="left"/>
              <w:rPr>
                <w:rFonts w:hint="eastAsia" w:ascii="宋体" w:hAnsi="宋体" w:cs="宋体"/>
                <w:kern w:val="0"/>
                <w:sz w:val="20"/>
                <w:szCs w:val="20"/>
              </w:rPr>
            </w:pPr>
            <w:r>
              <w:rPr>
                <w:rFonts w:hint="eastAsia" w:ascii="宋体" w:hAnsi="宋体" w:cs="宋体"/>
                <w:kern w:val="0"/>
                <w:sz w:val="20"/>
                <w:szCs w:val="20"/>
              </w:rPr>
              <w:t>80%</w:t>
            </w:r>
          </w:p>
        </w:tc>
        <w:tc>
          <w:tcPr>
            <w:tcW w:w="285" w:type="pct"/>
            <w:shd w:val="clear" w:color="auto" w:fill="auto"/>
            <w:noWrap/>
            <w:vAlign w:val="center"/>
          </w:tcPr>
          <w:p w14:paraId="1A2C7993">
            <w:pPr>
              <w:widowControl/>
              <w:jc w:val="left"/>
              <w:rPr>
                <w:rFonts w:hint="eastAsia" w:ascii="宋体" w:hAnsi="宋体" w:cs="宋体"/>
                <w:kern w:val="0"/>
                <w:sz w:val="20"/>
                <w:szCs w:val="20"/>
              </w:rPr>
            </w:pPr>
            <w:r>
              <w:rPr>
                <w:rFonts w:hint="eastAsia" w:ascii="宋体" w:hAnsi="宋体" w:cs="宋体"/>
                <w:kern w:val="0"/>
                <w:sz w:val="20"/>
                <w:szCs w:val="20"/>
              </w:rPr>
              <w:t>8</w:t>
            </w:r>
          </w:p>
        </w:tc>
      </w:tr>
      <w:tr w14:paraId="30850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8" w:type="pct"/>
            <w:vMerge w:val="continue"/>
            <w:vAlign w:val="center"/>
          </w:tcPr>
          <w:p w14:paraId="476BBF20">
            <w:pPr>
              <w:widowControl/>
              <w:jc w:val="left"/>
              <w:rPr>
                <w:rFonts w:hint="eastAsia" w:ascii="宋体" w:hAnsi="宋体" w:cs="宋体"/>
                <w:kern w:val="0"/>
                <w:sz w:val="20"/>
                <w:szCs w:val="20"/>
              </w:rPr>
            </w:pPr>
          </w:p>
        </w:tc>
        <w:tc>
          <w:tcPr>
            <w:tcW w:w="786" w:type="pct"/>
            <w:shd w:val="clear" w:color="auto" w:fill="auto"/>
            <w:noWrap/>
            <w:vAlign w:val="center"/>
          </w:tcPr>
          <w:p w14:paraId="0B9011D5">
            <w:pPr>
              <w:widowControl/>
              <w:jc w:val="left"/>
              <w:rPr>
                <w:rFonts w:hint="eastAsia" w:ascii="宋体" w:hAnsi="宋体" w:cs="宋体"/>
                <w:kern w:val="0"/>
                <w:sz w:val="20"/>
                <w:szCs w:val="20"/>
              </w:rPr>
            </w:pPr>
            <w:r>
              <w:rPr>
                <w:rFonts w:hint="eastAsia" w:ascii="宋体" w:hAnsi="宋体" w:cs="宋体"/>
                <w:kern w:val="0"/>
                <w:sz w:val="20"/>
                <w:szCs w:val="20"/>
              </w:rPr>
              <w:t>时效指标</w:t>
            </w:r>
          </w:p>
        </w:tc>
        <w:tc>
          <w:tcPr>
            <w:tcW w:w="810" w:type="pct"/>
            <w:shd w:val="clear" w:color="auto" w:fill="auto"/>
            <w:noWrap/>
            <w:vAlign w:val="center"/>
          </w:tcPr>
          <w:p w14:paraId="3108DEBD">
            <w:pPr>
              <w:widowControl/>
              <w:jc w:val="left"/>
              <w:rPr>
                <w:rFonts w:hint="eastAsia" w:ascii="宋体" w:hAnsi="宋体" w:cs="宋体"/>
                <w:kern w:val="0"/>
                <w:sz w:val="20"/>
                <w:szCs w:val="20"/>
              </w:rPr>
            </w:pPr>
            <w:r>
              <w:rPr>
                <w:rFonts w:hint="eastAsia" w:ascii="宋体" w:hAnsi="宋体" w:cs="宋体"/>
                <w:kern w:val="0"/>
                <w:sz w:val="20"/>
                <w:szCs w:val="20"/>
              </w:rPr>
              <w:t>促进全县林草持续健康发展</w:t>
            </w:r>
          </w:p>
        </w:tc>
        <w:tc>
          <w:tcPr>
            <w:tcW w:w="641" w:type="pct"/>
            <w:shd w:val="clear" w:color="auto" w:fill="auto"/>
            <w:noWrap/>
            <w:vAlign w:val="center"/>
          </w:tcPr>
          <w:p w14:paraId="3C55C1A4">
            <w:pPr>
              <w:widowControl/>
              <w:jc w:val="left"/>
              <w:rPr>
                <w:rFonts w:hint="eastAsia" w:ascii="宋体" w:hAnsi="宋体" w:cs="宋体"/>
                <w:kern w:val="0"/>
                <w:sz w:val="20"/>
                <w:szCs w:val="20"/>
              </w:rPr>
            </w:pPr>
            <w:r>
              <w:rPr>
                <w:rFonts w:hint="eastAsia" w:ascii="宋体" w:hAnsi="宋体" w:cs="宋体"/>
                <w:kern w:val="0"/>
                <w:sz w:val="20"/>
                <w:szCs w:val="20"/>
              </w:rPr>
              <w:t>长期</w:t>
            </w:r>
          </w:p>
        </w:tc>
        <w:tc>
          <w:tcPr>
            <w:tcW w:w="668" w:type="pct"/>
            <w:shd w:val="clear" w:color="auto" w:fill="auto"/>
            <w:noWrap/>
            <w:vAlign w:val="center"/>
          </w:tcPr>
          <w:p w14:paraId="40F28745">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485" w:type="pct"/>
            <w:shd w:val="clear" w:color="auto" w:fill="auto"/>
            <w:noWrap/>
            <w:vAlign w:val="center"/>
          </w:tcPr>
          <w:p w14:paraId="333C41FA">
            <w:pPr>
              <w:widowControl/>
              <w:jc w:val="left"/>
              <w:rPr>
                <w:rFonts w:hint="eastAsia" w:ascii="宋体" w:hAnsi="宋体" w:cs="宋体"/>
                <w:kern w:val="0"/>
                <w:sz w:val="20"/>
                <w:szCs w:val="20"/>
              </w:rPr>
            </w:pPr>
            <w:r>
              <w:rPr>
                <w:rFonts w:hint="eastAsia" w:ascii="宋体" w:hAnsi="宋体" w:cs="宋体"/>
                <w:kern w:val="0"/>
                <w:sz w:val="20"/>
                <w:szCs w:val="20"/>
              </w:rPr>
              <w:t>5</w:t>
            </w:r>
          </w:p>
        </w:tc>
        <w:tc>
          <w:tcPr>
            <w:tcW w:w="442" w:type="pct"/>
            <w:shd w:val="clear" w:color="auto" w:fill="auto"/>
            <w:noWrap/>
            <w:vAlign w:val="center"/>
          </w:tcPr>
          <w:p w14:paraId="29BBDA7B">
            <w:pPr>
              <w:widowControl/>
              <w:jc w:val="left"/>
              <w:rPr>
                <w:rFonts w:hint="eastAsia" w:ascii="宋体" w:hAnsi="宋体" w:cs="宋体"/>
                <w:kern w:val="0"/>
                <w:sz w:val="20"/>
                <w:szCs w:val="20"/>
              </w:rPr>
            </w:pPr>
            <w:r>
              <w:rPr>
                <w:rFonts w:hint="eastAsia" w:ascii="宋体" w:hAnsi="宋体" w:cs="宋体"/>
                <w:kern w:val="0"/>
                <w:sz w:val="20"/>
                <w:szCs w:val="20"/>
              </w:rPr>
              <w:t>长期</w:t>
            </w:r>
          </w:p>
        </w:tc>
        <w:tc>
          <w:tcPr>
            <w:tcW w:w="285" w:type="pct"/>
            <w:shd w:val="clear" w:color="auto" w:fill="auto"/>
            <w:noWrap/>
            <w:vAlign w:val="center"/>
          </w:tcPr>
          <w:p w14:paraId="26B95F2D">
            <w:pPr>
              <w:widowControl/>
              <w:jc w:val="left"/>
              <w:rPr>
                <w:rFonts w:hint="eastAsia" w:ascii="宋体" w:hAnsi="宋体" w:cs="宋体"/>
                <w:kern w:val="0"/>
                <w:sz w:val="20"/>
                <w:szCs w:val="20"/>
              </w:rPr>
            </w:pPr>
            <w:r>
              <w:rPr>
                <w:rFonts w:hint="eastAsia" w:ascii="宋体" w:hAnsi="宋体" w:cs="宋体"/>
                <w:kern w:val="0"/>
                <w:sz w:val="20"/>
                <w:szCs w:val="20"/>
              </w:rPr>
              <w:t>5</w:t>
            </w:r>
          </w:p>
        </w:tc>
      </w:tr>
      <w:tr w14:paraId="157B0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8" w:type="pct"/>
            <w:shd w:val="clear" w:color="auto" w:fill="auto"/>
            <w:noWrap/>
            <w:vAlign w:val="center"/>
          </w:tcPr>
          <w:p w14:paraId="7A7FB3FD">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786" w:type="pct"/>
            <w:vMerge w:val="restart"/>
            <w:shd w:val="clear" w:color="auto" w:fill="auto"/>
            <w:noWrap/>
            <w:vAlign w:val="center"/>
          </w:tcPr>
          <w:p w14:paraId="1028F636">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810" w:type="pct"/>
            <w:shd w:val="clear" w:color="auto" w:fill="auto"/>
            <w:noWrap/>
            <w:vAlign w:val="center"/>
          </w:tcPr>
          <w:p w14:paraId="0E7A2E7E">
            <w:pPr>
              <w:widowControl/>
              <w:jc w:val="left"/>
              <w:rPr>
                <w:rFonts w:hint="eastAsia" w:ascii="宋体" w:hAnsi="宋体" w:cs="宋体"/>
                <w:kern w:val="0"/>
                <w:sz w:val="20"/>
                <w:szCs w:val="20"/>
              </w:rPr>
            </w:pPr>
            <w:r>
              <w:rPr>
                <w:rFonts w:hint="eastAsia" w:ascii="宋体" w:hAnsi="宋体" w:cs="宋体"/>
                <w:kern w:val="0"/>
                <w:sz w:val="20"/>
                <w:szCs w:val="20"/>
              </w:rPr>
              <w:t>草原保护建设率</w:t>
            </w:r>
          </w:p>
        </w:tc>
        <w:tc>
          <w:tcPr>
            <w:tcW w:w="641" w:type="pct"/>
            <w:shd w:val="clear" w:color="auto" w:fill="auto"/>
            <w:noWrap/>
            <w:vAlign w:val="center"/>
          </w:tcPr>
          <w:p w14:paraId="00564615">
            <w:pPr>
              <w:widowControl/>
              <w:jc w:val="left"/>
              <w:rPr>
                <w:rFonts w:hint="eastAsia" w:ascii="宋体" w:hAnsi="宋体" w:cs="宋体"/>
                <w:kern w:val="0"/>
                <w:sz w:val="20"/>
                <w:szCs w:val="20"/>
              </w:rPr>
            </w:pPr>
            <w:r>
              <w:rPr>
                <w:rFonts w:hint="eastAsia" w:ascii="宋体" w:hAnsi="宋体" w:cs="宋体"/>
                <w:kern w:val="0"/>
                <w:sz w:val="20"/>
                <w:szCs w:val="20"/>
              </w:rPr>
              <w:t>&gt;80百分率</w:t>
            </w:r>
          </w:p>
        </w:tc>
        <w:tc>
          <w:tcPr>
            <w:tcW w:w="668" w:type="pct"/>
            <w:shd w:val="clear" w:color="auto" w:fill="auto"/>
            <w:noWrap/>
            <w:vAlign w:val="center"/>
          </w:tcPr>
          <w:p w14:paraId="08CB50D9">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485" w:type="pct"/>
            <w:shd w:val="clear" w:color="auto" w:fill="auto"/>
            <w:noWrap/>
            <w:vAlign w:val="center"/>
          </w:tcPr>
          <w:p w14:paraId="7AE957AB">
            <w:pPr>
              <w:widowControl/>
              <w:jc w:val="left"/>
              <w:rPr>
                <w:rFonts w:hint="eastAsia" w:ascii="宋体" w:hAnsi="宋体" w:cs="宋体"/>
                <w:kern w:val="0"/>
                <w:sz w:val="20"/>
                <w:szCs w:val="20"/>
              </w:rPr>
            </w:pPr>
            <w:r>
              <w:rPr>
                <w:rFonts w:hint="eastAsia" w:ascii="宋体" w:hAnsi="宋体" w:cs="宋体"/>
                <w:kern w:val="0"/>
                <w:sz w:val="20"/>
                <w:szCs w:val="20"/>
              </w:rPr>
              <w:t>5</w:t>
            </w:r>
          </w:p>
        </w:tc>
        <w:tc>
          <w:tcPr>
            <w:tcW w:w="442" w:type="pct"/>
            <w:shd w:val="clear" w:color="auto" w:fill="auto"/>
            <w:noWrap/>
            <w:vAlign w:val="center"/>
          </w:tcPr>
          <w:p w14:paraId="64D5243C">
            <w:pPr>
              <w:widowControl/>
              <w:jc w:val="left"/>
              <w:rPr>
                <w:rFonts w:hint="eastAsia" w:ascii="宋体" w:hAnsi="宋体" w:cs="宋体"/>
                <w:kern w:val="0"/>
                <w:sz w:val="20"/>
                <w:szCs w:val="20"/>
              </w:rPr>
            </w:pPr>
            <w:r>
              <w:rPr>
                <w:rFonts w:hint="eastAsia" w:ascii="宋体" w:hAnsi="宋体" w:cs="宋体"/>
                <w:kern w:val="0"/>
                <w:sz w:val="20"/>
                <w:szCs w:val="20"/>
              </w:rPr>
              <w:t>80%</w:t>
            </w:r>
          </w:p>
        </w:tc>
        <w:tc>
          <w:tcPr>
            <w:tcW w:w="285" w:type="pct"/>
            <w:shd w:val="clear" w:color="auto" w:fill="auto"/>
            <w:noWrap/>
            <w:vAlign w:val="center"/>
          </w:tcPr>
          <w:p w14:paraId="5FDBFCB8">
            <w:pPr>
              <w:widowControl/>
              <w:jc w:val="left"/>
              <w:rPr>
                <w:rFonts w:hint="eastAsia" w:ascii="宋体" w:hAnsi="宋体" w:cs="宋体"/>
                <w:kern w:val="0"/>
                <w:sz w:val="20"/>
                <w:szCs w:val="20"/>
              </w:rPr>
            </w:pPr>
            <w:r>
              <w:rPr>
                <w:rFonts w:hint="eastAsia" w:ascii="宋体" w:hAnsi="宋体" w:cs="宋体"/>
                <w:kern w:val="0"/>
                <w:sz w:val="20"/>
                <w:szCs w:val="20"/>
              </w:rPr>
              <w:t>5</w:t>
            </w:r>
          </w:p>
        </w:tc>
      </w:tr>
      <w:tr w14:paraId="4605E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8" w:type="pct"/>
            <w:vMerge w:val="restart"/>
            <w:shd w:val="clear" w:color="auto" w:fill="auto"/>
            <w:noWrap/>
            <w:vAlign w:val="center"/>
          </w:tcPr>
          <w:p w14:paraId="2ACB35ED">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786" w:type="pct"/>
            <w:vMerge w:val="continue"/>
            <w:vAlign w:val="center"/>
          </w:tcPr>
          <w:p w14:paraId="50E09C04">
            <w:pPr>
              <w:widowControl/>
              <w:jc w:val="left"/>
              <w:rPr>
                <w:rFonts w:hint="eastAsia" w:ascii="宋体" w:hAnsi="宋体" w:cs="宋体"/>
                <w:kern w:val="0"/>
                <w:sz w:val="20"/>
                <w:szCs w:val="20"/>
              </w:rPr>
            </w:pPr>
          </w:p>
        </w:tc>
        <w:tc>
          <w:tcPr>
            <w:tcW w:w="810" w:type="pct"/>
            <w:shd w:val="clear" w:color="auto" w:fill="auto"/>
            <w:noWrap/>
            <w:vAlign w:val="center"/>
          </w:tcPr>
          <w:p w14:paraId="53CE13E7">
            <w:pPr>
              <w:widowControl/>
              <w:jc w:val="left"/>
              <w:rPr>
                <w:rFonts w:hint="eastAsia" w:ascii="宋体" w:hAnsi="宋体" w:cs="宋体"/>
                <w:kern w:val="0"/>
                <w:sz w:val="20"/>
                <w:szCs w:val="20"/>
              </w:rPr>
            </w:pPr>
            <w:r>
              <w:rPr>
                <w:rFonts w:hint="eastAsia" w:ascii="宋体" w:hAnsi="宋体" w:cs="宋体"/>
                <w:kern w:val="0"/>
                <w:sz w:val="20"/>
                <w:szCs w:val="20"/>
              </w:rPr>
              <w:t>相关部门满意度</w:t>
            </w:r>
          </w:p>
        </w:tc>
        <w:tc>
          <w:tcPr>
            <w:tcW w:w="641" w:type="pct"/>
            <w:shd w:val="clear" w:color="auto" w:fill="auto"/>
            <w:noWrap/>
            <w:vAlign w:val="center"/>
          </w:tcPr>
          <w:p w14:paraId="23DE6594">
            <w:pPr>
              <w:widowControl/>
              <w:jc w:val="left"/>
              <w:rPr>
                <w:rFonts w:hint="eastAsia" w:ascii="宋体" w:hAnsi="宋体" w:cs="宋体"/>
                <w:kern w:val="0"/>
                <w:sz w:val="20"/>
                <w:szCs w:val="20"/>
              </w:rPr>
            </w:pPr>
            <w:r>
              <w:rPr>
                <w:rFonts w:hint="eastAsia" w:ascii="宋体" w:hAnsi="宋体" w:cs="宋体"/>
                <w:kern w:val="0"/>
                <w:sz w:val="20"/>
                <w:szCs w:val="20"/>
              </w:rPr>
              <w:t>&gt;90百分率</w:t>
            </w:r>
          </w:p>
        </w:tc>
        <w:tc>
          <w:tcPr>
            <w:tcW w:w="668" w:type="pct"/>
            <w:shd w:val="clear" w:color="auto" w:fill="auto"/>
            <w:noWrap/>
            <w:vAlign w:val="center"/>
          </w:tcPr>
          <w:p w14:paraId="25EB9E62">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485" w:type="pct"/>
            <w:shd w:val="clear" w:color="auto" w:fill="auto"/>
            <w:noWrap/>
            <w:vAlign w:val="center"/>
          </w:tcPr>
          <w:p w14:paraId="5B27D13E">
            <w:pPr>
              <w:widowControl/>
              <w:jc w:val="left"/>
              <w:rPr>
                <w:rFonts w:hint="eastAsia" w:ascii="宋体" w:hAnsi="宋体" w:cs="宋体"/>
                <w:kern w:val="0"/>
                <w:sz w:val="20"/>
                <w:szCs w:val="20"/>
              </w:rPr>
            </w:pPr>
            <w:r>
              <w:rPr>
                <w:rFonts w:hint="eastAsia" w:ascii="宋体" w:hAnsi="宋体" w:cs="宋体"/>
                <w:kern w:val="0"/>
                <w:sz w:val="20"/>
                <w:szCs w:val="20"/>
              </w:rPr>
              <w:t>5</w:t>
            </w:r>
          </w:p>
        </w:tc>
        <w:tc>
          <w:tcPr>
            <w:tcW w:w="442" w:type="pct"/>
            <w:shd w:val="clear" w:color="auto" w:fill="auto"/>
            <w:noWrap/>
            <w:vAlign w:val="center"/>
          </w:tcPr>
          <w:p w14:paraId="219327D8">
            <w:pPr>
              <w:widowControl/>
              <w:jc w:val="left"/>
              <w:rPr>
                <w:rFonts w:hint="eastAsia" w:ascii="宋体" w:hAnsi="宋体" w:cs="宋体"/>
                <w:kern w:val="0"/>
                <w:sz w:val="20"/>
                <w:szCs w:val="20"/>
              </w:rPr>
            </w:pPr>
            <w:r>
              <w:rPr>
                <w:rFonts w:hint="eastAsia" w:ascii="宋体" w:hAnsi="宋体" w:cs="宋体"/>
                <w:kern w:val="0"/>
                <w:sz w:val="20"/>
                <w:szCs w:val="20"/>
              </w:rPr>
              <w:t>90%</w:t>
            </w:r>
          </w:p>
        </w:tc>
        <w:tc>
          <w:tcPr>
            <w:tcW w:w="285" w:type="pct"/>
            <w:shd w:val="clear" w:color="auto" w:fill="auto"/>
            <w:noWrap/>
            <w:vAlign w:val="center"/>
          </w:tcPr>
          <w:p w14:paraId="256C47A9">
            <w:pPr>
              <w:widowControl/>
              <w:jc w:val="left"/>
              <w:rPr>
                <w:rFonts w:hint="eastAsia" w:ascii="宋体" w:hAnsi="宋体" w:cs="宋体"/>
                <w:kern w:val="0"/>
                <w:sz w:val="20"/>
                <w:szCs w:val="20"/>
              </w:rPr>
            </w:pPr>
            <w:r>
              <w:rPr>
                <w:rFonts w:hint="eastAsia" w:ascii="宋体" w:hAnsi="宋体" w:cs="宋体"/>
                <w:kern w:val="0"/>
                <w:sz w:val="20"/>
                <w:szCs w:val="20"/>
              </w:rPr>
              <w:t>5</w:t>
            </w:r>
          </w:p>
        </w:tc>
      </w:tr>
      <w:tr w14:paraId="02585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78" w:type="pct"/>
            <w:vMerge w:val="continue"/>
            <w:vAlign w:val="center"/>
          </w:tcPr>
          <w:p w14:paraId="6CB2373E">
            <w:pPr>
              <w:widowControl/>
              <w:jc w:val="left"/>
              <w:rPr>
                <w:rFonts w:hint="eastAsia" w:ascii="宋体" w:hAnsi="宋体" w:cs="宋体"/>
                <w:kern w:val="0"/>
                <w:sz w:val="20"/>
                <w:szCs w:val="20"/>
              </w:rPr>
            </w:pPr>
          </w:p>
        </w:tc>
        <w:tc>
          <w:tcPr>
            <w:tcW w:w="786" w:type="pct"/>
            <w:vMerge w:val="continue"/>
            <w:vAlign w:val="center"/>
          </w:tcPr>
          <w:p w14:paraId="0BFE4953">
            <w:pPr>
              <w:widowControl/>
              <w:jc w:val="left"/>
              <w:rPr>
                <w:rFonts w:hint="eastAsia" w:ascii="宋体" w:hAnsi="宋体" w:cs="宋体"/>
                <w:kern w:val="0"/>
                <w:sz w:val="20"/>
                <w:szCs w:val="20"/>
              </w:rPr>
            </w:pPr>
          </w:p>
        </w:tc>
        <w:tc>
          <w:tcPr>
            <w:tcW w:w="810" w:type="pct"/>
            <w:shd w:val="clear" w:color="auto" w:fill="auto"/>
            <w:noWrap/>
            <w:vAlign w:val="center"/>
          </w:tcPr>
          <w:p w14:paraId="354FBC1C">
            <w:pPr>
              <w:widowControl/>
              <w:jc w:val="left"/>
              <w:rPr>
                <w:rFonts w:hint="eastAsia" w:ascii="宋体" w:hAnsi="宋体" w:cs="宋体"/>
                <w:kern w:val="0"/>
                <w:sz w:val="20"/>
                <w:szCs w:val="20"/>
              </w:rPr>
            </w:pPr>
            <w:r>
              <w:rPr>
                <w:rFonts w:hint="eastAsia" w:ascii="宋体" w:hAnsi="宋体" w:cs="宋体"/>
                <w:kern w:val="0"/>
                <w:sz w:val="20"/>
                <w:szCs w:val="20"/>
              </w:rPr>
              <w:t>农牧民满意度</w:t>
            </w:r>
          </w:p>
        </w:tc>
        <w:tc>
          <w:tcPr>
            <w:tcW w:w="641" w:type="pct"/>
            <w:shd w:val="clear" w:color="auto" w:fill="auto"/>
            <w:noWrap/>
            <w:vAlign w:val="center"/>
          </w:tcPr>
          <w:p w14:paraId="4EF05889">
            <w:pPr>
              <w:widowControl/>
              <w:jc w:val="left"/>
              <w:rPr>
                <w:rFonts w:hint="eastAsia" w:ascii="宋体" w:hAnsi="宋体" w:cs="宋体"/>
                <w:kern w:val="0"/>
                <w:sz w:val="20"/>
                <w:szCs w:val="20"/>
              </w:rPr>
            </w:pPr>
            <w:r>
              <w:rPr>
                <w:rFonts w:hint="eastAsia" w:ascii="宋体" w:hAnsi="宋体" w:cs="宋体"/>
                <w:kern w:val="0"/>
                <w:sz w:val="20"/>
                <w:szCs w:val="20"/>
              </w:rPr>
              <w:t>&gt;90办百分率</w:t>
            </w:r>
          </w:p>
        </w:tc>
        <w:tc>
          <w:tcPr>
            <w:tcW w:w="668" w:type="pct"/>
            <w:shd w:val="clear" w:color="auto" w:fill="auto"/>
            <w:noWrap/>
            <w:vAlign w:val="center"/>
          </w:tcPr>
          <w:p w14:paraId="75815BDA">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485" w:type="pct"/>
            <w:shd w:val="clear" w:color="auto" w:fill="auto"/>
            <w:noWrap/>
            <w:vAlign w:val="center"/>
          </w:tcPr>
          <w:p w14:paraId="7EADC376">
            <w:pPr>
              <w:widowControl/>
              <w:jc w:val="left"/>
              <w:rPr>
                <w:rFonts w:hint="eastAsia" w:ascii="宋体" w:hAnsi="宋体" w:cs="宋体"/>
                <w:kern w:val="0"/>
                <w:sz w:val="20"/>
                <w:szCs w:val="20"/>
              </w:rPr>
            </w:pPr>
            <w:r>
              <w:rPr>
                <w:rFonts w:hint="eastAsia" w:ascii="宋体" w:hAnsi="宋体" w:cs="宋体"/>
                <w:kern w:val="0"/>
                <w:sz w:val="20"/>
                <w:szCs w:val="20"/>
              </w:rPr>
              <w:t>5</w:t>
            </w:r>
          </w:p>
        </w:tc>
        <w:tc>
          <w:tcPr>
            <w:tcW w:w="442" w:type="pct"/>
            <w:shd w:val="clear" w:color="auto" w:fill="auto"/>
            <w:noWrap/>
            <w:vAlign w:val="center"/>
          </w:tcPr>
          <w:p w14:paraId="6B307D13">
            <w:pPr>
              <w:widowControl/>
              <w:jc w:val="left"/>
              <w:rPr>
                <w:rFonts w:hint="eastAsia" w:ascii="宋体" w:hAnsi="宋体" w:cs="宋体"/>
                <w:kern w:val="0"/>
                <w:sz w:val="20"/>
                <w:szCs w:val="20"/>
              </w:rPr>
            </w:pPr>
            <w:r>
              <w:rPr>
                <w:rFonts w:hint="eastAsia" w:ascii="宋体" w:hAnsi="宋体" w:cs="宋体"/>
                <w:kern w:val="0"/>
                <w:sz w:val="20"/>
                <w:szCs w:val="20"/>
              </w:rPr>
              <w:t>90%</w:t>
            </w:r>
          </w:p>
        </w:tc>
        <w:tc>
          <w:tcPr>
            <w:tcW w:w="285" w:type="pct"/>
            <w:shd w:val="clear" w:color="auto" w:fill="auto"/>
            <w:noWrap/>
            <w:vAlign w:val="center"/>
          </w:tcPr>
          <w:p w14:paraId="3E3B41CE">
            <w:pPr>
              <w:widowControl/>
              <w:jc w:val="left"/>
              <w:rPr>
                <w:rFonts w:hint="eastAsia" w:ascii="宋体" w:hAnsi="宋体" w:cs="宋体"/>
                <w:kern w:val="0"/>
                <w:sz w:val="20"/>
                <w:szCs w:val="20"/>
              </w:rPr>
            </w:pPr>
            <w:r>
              <w:rPr>
                <w:rFonts w:hint="eastAsia" w:ascii="宋体" w:hAnsi="宋体" w:cs="宋体"/>
                <w:kern w:val="0"/>
                <w:sz w:val="20"/>
                <w:szCs w:val="20"/>
              </w:rPr>
              <w:t>5</w:t>
            </w:r>
          </w:p>
        </w:tc>
      </w:tr>
    </w:tbl>
    <w:p w14:paraId="12379B62">
      <w:pPr>
        <w:ind w:firstLine="640" w:firstLineChars="200"/>
        <w:jc w:val="left"/>
        <w:rPr>
          <w:rFonts w:ascii="仿宋_GB2312" w:eastAsia="仿宋_GB2312"/>
          <w:sz w:val="32"/>
          <w:szCs w:val="32"/>
        </w:rPr>
      </w:pPr>
    </w:p>
    <w:tbl>
      <w:tblPr>
        <w:tblStyle w:val="9"/>
        <w:tblW w:w="4869" w:type="pct"/>
        <w:tblInd w:w="0" w:type="dxa"/>
        <w:tblLayout w:type="autofit"/>
        <w:tblCellMar>
          <w:top w:w="0" w:type="dxa"/>
          <w:left w:w="108" w:type="dxa"/>
          <w:bottom w:w="0" w:type="dxa"/>
          <w:right w:w="108" w:type="dxa"/>
        </w:tblCellMar>
      </w:tblPr>
      <w:tblGrid>
        <w:gridCol w:w="608"/>
        <w:gridCol w:w="613"/>
        <w:gridCol w:w="1017"/>
        <w:gridCol w:w="206"/>
        <w:gridCol w:w="816"/>
        <w:gridCol w:w="337"/>
        <w:gridCol w:w="880"/>
        <w:gridCol w:w="778"/>
        <w:gridCol w:w="488"/>
        <w:gridCol w:w="432"/>
        <w:gridCol w:w="488"/>
        <w:gridCol w:w="431"/>
        <w:gridCol w:w="485"/>
        <w:gridCol w:w="720"/>
      </w:tblGrid>
      <w:tr w14:paraId="07F72D79">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7A50C735">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项目支出绩效自评表</w:t>
            </w:r>
          </w:p>
        </w:tc>
      </w:tr>
      <w:tr w14:paraId="5BE08B79">
        <w:tblPrEx>
          <w:tblCellMar>
            <w:top w:w="0" w:type="dxa"/>
            <w:left w:w="108" w:type="dxa"/>
            <w:bottom w:w="0" w:type="dxa"/>
            <w:right w:w="108" w:type="dxa"/>
          </w:tblCellMar>
        </w:tblPrEx>
        <w:trPr>
          <w:trHeight w:val="270" w:hRule="atLeast"/>
        </w:trPr>
        <w:tc>
          <w:tcPr>
            <w:tcW w:w="5000" w:type="pct"/>
            <w:gridSpan w:val="14"/>
            <w:tcBorders>
              <w:top w:val="nil"/>
              <w:left w:val="nil"/>
              <w:bottom w:val="single" w:color="auto" w:sz="4" w:space="0"/>
              <w:right w:val="nil"/>
            </w:tcBorders>
            <w:shd w:val="clear" w:color="auto" w:fill="auto"/>
            <w:vAlign w:val="center"/>
          </w:tcPr>
          <w:p w14:paraId="3098401E">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10E76B68">
        <w:tblPrEx>
          <w:tblCellMar>
            <w:top w:w="0" w:type="dxa"/>
            <w:left w:w="108" w:type="dxa"/>
            <w:bottom w:w="0" w:type="dxa"/>
            <w:right w:w="108" w:type="dxa"/>
          </w:tblCellMar>
        </w:tblPrEx>
        <w:trPr>
          <w:trHeight w:val="270" w:hRule="atLeast"/>
        </w:trPr>
        <w:tc>
          <w:tcPr>
            <w:tcW w:w="7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539339">
            <w:pPr>
              <w:widowControl/>
              <w:jc w:val="center"/>
              <w:rPr>
                <w:rFonts w:hint="eastAsia" w:ascii="宋体" w:hAnsi="宋体" w:cs="宋体"/>
                <w:kern w:val="0"/>
                <w:sz w:val="20"/>
                <w:szCs w:val="20"/>
              </w:rPr>
            </w:pPr>
            <w:r>
              <w:rPr>
                <w:rFonts w:hint="eastAsia" w:ascii="宋体" w:hAnsi="宋体" w:cs="宋体"/>
                <w:kern w:val="0"/>
                <w:sz w:val="20"/>
                <w:szCs w:val="20"/>
              </w:rPr>
              <w:t>项目名称</w:t>
            </w:r>
          </w:p>
        </w:tc>
        <w:tc>
          <w:tcPr>
            <w:tcW w:w="4262" w:type="pct"/>
            <w:gridSpan w:val="12"/>
            <w:tcBorders>
              <w:top w:val="single" w:color="auto" w:sz="4" w:space="0"/>
              <w:left w:val="nil"/>
              <w:bottom w:val="single" w:color="auto" w:sz="4" w:space="0"/>
              <w:right w:val="single" w:color="auto" w:sz="4" w:space="0"/>
            </w:tcBorders>
            <w:shd w:val="clear" w:color="auto" w:fill="auto"/>
            <w:vAlign w:val="center"/>
          </w:tcPr>
          <w:p w14:paraId="3143CB9F">
            <w:pPr>
              <w:widowControl/>
              <w:jc w:val="center"/>
              <w:rPr>
                <w:rFonts w:hint="eastAsia" w:ascii="宋体" w:hAnsi="宋体" w:cs="宋体"/>
                <w:kern w:val="0"/>
                <w:sz w:val="20"/>
                <w:szCs w:val="20"/>
              </w:rPr>
            </w:pPr>
            <w:r>
              <w:rPr>
                <w:rFonts w:hint="eastAsia" w:ascii="宋体" w:hAnsi="宋体" w:cs="宋体"/>
                <w:kern w:val="0"/>
                <w:sz w:val="20"/>
                <w:szCs w:val="20"/>
              </w:rPr>
              <w:t>昌州财建（2022）46号-木垒县2022年中央林业草原生态保护恢复资金项目</w:t>
            </w:r>
          </w:p>
        </w:tc>
      </w:tr>
      <w:tr w14:paraId="5BA46925">
        <w:tblPrEx>
          <w:tblCellMar>
            <w:top w:w="0" w:type="dxa"/>
            <w:left w:w="108" w:type="dxa"/>
            <w:bottom w:w="0" w:type="dxa"/>
            <w:right w:w="108" w:type="dxa"/>
          </w:tblCellMar>
        </w:tblPrEx>
        <w:trPr>
          <w:trHeight w:val="270" w:hRule="atLeast"/>
        </w:trPr>
        <w:tc>
          <w:tcPr>
            <w:tcW w:w="7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1023B0">
            <w:pPr>
              <w:widowControl/>
              <w:jc w:val="center"/>
              <w:rPr>
                <w:rFonts w:hint="eastAsia" w:ascii="宋体" w:hAnsi="宋体" w:cs="宋体"/>
                <w:kern w:val="0"/>
                <w:sz w:val="20"/>
                <w:szCs w:val="20"/>
              </w:rPr>
            </w:pPr>
            <w:r>
              <w:rPr>
                <w:rFonts w:hint="eastAsia" w:ascii="宋体" w:hAnsi="宋体" w:cs="宋体"/>
                <w:kern w:val="0"/>
                <w:sz w:val="20"/>
                <w:szCs w:val="20"/>
              </w:rPr>
              <w:t>主管部门</w:t>
            </w:r>
          </w:p>
        </w:tc>
        <w:tc>
          <w:tcPr>
            <w:tcW w:w="1961" w:type="pct"/>
            <w:gridSpan w:val="5"/>
            <w:tcBorders>
              <w:top w:val="single" w:color="auto" w:sz="4" w:space="0"/>
              <w:left w:val="nil"/>
              <w:bottom w:val="single" w:color="auto" w:sz="4" w:space="0"/>
              <w:right w:val="single" w:color="auto" w:sz="4" w:space="0"/>
            </w:tcBorders>
            <w:shd w:val="clear" w:color="auto" w:fill="auto"/>
            <w:vAlign w:val="center"/>
          </w:tcPr>
          <w:p w14:paraId="1B35E58A">
            <w:pPr>
              <w:widowControl/>
              <w:jc w:val="center"/>
              <w:rPr>
                <w:rFonts w:hint="eastAsia" w:ascii="宋体" w:hAnsi="宋体" w:cs="宋体"/>
                <w:kern w:val="0"/>
                <w:sz w:val="20"/>
                <w:szCs w:val="20"/>
              </w:rPr>
            </w:pPr>
            <w:r>
              <w:rPr>
                <w:rFonts w:hint="eastAsia" w:ascii="宋体" w:hAnsi="宋体" w:cs="宋体"/>
                <w:kern w:val="0"/>
                <w:sz w:val="20"/>
                <w:szCs w:val="20"/>
              </w:rPr>
              <w:t>木垒县草原工作站</w:t>
            </w:r>
          </w:p>
        </w:tc>
        <w:tc>
          <w:tcPr>
            <w:tcW w:w="762" w:type="pct"/>
            <w:gridSpan w:val="2"/>
            <w:tcBorders>
              <w:top w:val="single" w:color="auto" w:sz="4" w:space="0"/>
              <w:left w:val="nil"/>
              <w:bottom w:val="single" w:color="auto" w:sz="4" w:space="0"/>
              <w:right w:val="single" w:color="auto" w:sz="4" w:space="0"/>
            </w:tcBorders>
            <w:shd w:val="clear" w:color="auto" w:fill="auto"/>
            <w:vAlign w:val="center"/>
          </w:tcPr>
          <w:p w14:paraId="7DB3A75C">
            <w:pPr>
              <w:widowControl/>
              <w:jc w:val="center"/>
              <w:rPr>
                <w:rFonts w:hint="eastAsia" w:ascii="宋体" w:hAnsi="宋体" w:cs="宋体"/>
                <w:kern w:val="0"/>
                <w:sz w:val="20"/>
                <w:szCs w:val="20"/>
              </w:rPr>
            </w:pPr>
            <w:r>
              <w:rPr>
                <w:rFonts w:hint="eastAsia" w:ascii="宋体" w:hAnsi="宋体" w:cs="宋体"/>
                <w:kern w:val="0"/>
                <w:sz w:val="20"/>
                <w:szCs w:val="20"/>
              </w:rPr>
              <w:t>实施单位</w:t>
            </w:r>
          </w:p>
        </w:tc>
        <w:tc>
          <w:tcPr>
            <w:tcW w:w="1538" w:type="pct"/>
            <w:gridSpan w:val="5"/>
            <w:tcBorders>
              <w:top w:val="single" w:color="auto" w:sz="4" w:space="0"/>
              <w:left w:val="nil"/>
              <w:bottom w:val="single" w:color="auto" w:sz="4" w:space="0"/>
              <w:right w:val="single" w:color="auto" w:sz="4" w:space="0"/>
            </w:tcBorders>
            <w:shd w:val="clear" w:color="auto" w:fill="auto"/>
            <w:vAlign w:val="center"/>
          </w:tcPr>
          <w:p w14:paraId="70287885">
            <w:pPr>
              <w:widowControl/>
              <w:jc w:val="center"/>
              <w:rPr>
                <w:rFonts w:hint="eastAsia" w:ascii="宋体" w:hAnsi="宋体" w:cs="宋体"/>
                <w:kern w:val="0"/>
                <w:sz w:val="20"/>
                <w:szCs w:val="20"/>
              </w:rPr>
            </w:pPr>
            <w:r>
              <w:rPr>
                <w:rFonts w:hint="eastAsia" w:ascii="宋体" w:hAnsi="宋体" w:cs="宋体"/>
                <w:kern w:val="0"/>
                <w:sz w:val="20"/>
                <w:szCs w:val="20"/>
              </w:rPr>
              <w:t>木垒县草原工作站</w:t>
            </w:r>
          </w:p>
        </w:tc>
      </w:tr>
      <w:tr w14:paraId="1598A6ED">
        <w:tblPrEx>
          <w:tblCellMar>
            <w:top w:w="0" w:type="dxa"/>
            <w:left w:w="108" w:type="dxa"/>
            <w:bottom w:w="0" w:type="dxa"/>
            <w:right w:w="108" w:type="dxa"/>
          </w:tblCellMar>
        </w:tblPrEx>
        <w:trPr>
          <w:trHeight w:val="480" w:hRule="atLeast"/>
        </w:trPr>
        <w:tc>
          <w:tcPr>
            <w:tcW w:w="73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62A0C2">
            <w:pPr>
              <w:widowControl/>
              <w:jc w:val="center"/>
              <w:rPr>
                <w:rFonts w:hint="eastAsia" w:ascii="宋体" w:hAnsi="宋体" w:cs="宋体"/>
                <w:kern w:val="0"/>
                <w:sz w:val="20"/>
                <w:szCs w:val="20"/>
              </w:rPr>
            </w:pPr>
            <w:r>
              <w:rPr>
                <w:rFonts w:hint="eastAsia" w:ascii="宋体" w:hAnsi="宋体" w:cs="宋体"/>
                <w:kern w:val="0"/>
                <w:sz w:val="20"/>
                <w:szCs w:val="20"/>
              </w:rPr>
              <w:t>项目资金</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737" w:type="pct"/>
            <w:gridSpan w:val="2"/>
            <w:tcBorders>
              <w:top w:val="single" w:color="auto" w:sz="4" w:space="0"/>
              <w:left w:val="nil"/>
              <w:bottom w:val="single" w:color="auto" w:sz="4" w:space="0"/>
              <w:right w:val="single" w:color="auto" w:sz="4" w:space="0"/>
            </w:tcBorders>
            <w:shd w:val="clear" w:color="auto" w:fill="auto"/>
            <w:vAlign w:val="center"/>
          </w:tcPr>
          <w:p w14:paraId="5BBE1707">
            <w:pPr>
              <w:widowControl/>
              <w:jc w:val="center"/>
              <w:rPr>
                <w:rFonts w:hint="eastAsia" w:ascii="宋体" w:hAnsi="宋体" w:cs="宋体"/>
                <w:kern w:val="0"/>
                <w:sz w:val="20"/>
                <w:szCs w:val="20"/>
              </w:rPr>
            </w:pPr>
          </w:p>
        </w:tc>
        <w:tc>
          <w:tcPr>
            <w:tcW w:w="491" w:type="pct"/>
            <w:tcBorders>
              <w:top w:val="single" w:color="auto" w:sz="4" w:space="0"/>
              <w:left w:val="nil"/>
              <w:bottom w:val="single" w:color="auto" w:sz="4" w:space="0"/>
              <w:right w:val="single" w:color="auto" w:sz="4" w:space="0"/>
            </w:tcBorders>
            <w:shd w:val="clear" w:color="auto" w:fill="auto"/>
            <w:vAlign w:val="center"/>
          </w:tcPr>
          <w:p w14:paraId="26865E9B">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732" w:type="pct"/>
            <w:gridSpan w:val="2"/>
            <w:tcBorders>
              <w:top w:val="single" w:color="auto" w:sz="4" w:space="0"/>
              <w:left w:val="nil"/>
              <w:bottom w:val="single" w:color="auto" w:sz="4" w:space="0"/>
              <w:right w:val="single" w:color="auto" w:sz="4" w:space="0"/>
            </w:tcBorders>
            <w:shd w:val="clear" w:color="auto" w:fill="auto"/>
            <w:vAlign w:val="center"/>
          </w:tcPr>
          <w:p w14:paraId="0BE82BD7">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762" w:type="pct"/>
            <w:gridSpan w:val="2"/>
            <w:tcBorders>
              <w:top w:val="single" w:color="auto" w:sz="4" w:space="0"/>
              <w:left w:val="nil"/>
              <w:bottom w:val="single" w:color="auto" w:sz="4" w:space="0"/>
              <w:right w:val="single" w:color="auto" w:sz="4" w:space="0"/>
            </w:tcBorders>
            <w:shd w:val="clear" w:color="auto" w:fill="auto"/>
            <w:vAlign w:val="center"/>
          </w:tcPr>
          <w:p w14:paraId="64E68E2D">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7BE94197">
            <w:pPr>
              <w:widowControl/>
              <w:jc w:val="center"/>
              <w:rPr>
                <w:rFonts w:hint="eastAsia" w:ascii="宋体" w:hAnsi="宋体" w:cs="宋体"/>
                <w:kern w:val="0"/>
                <w:sz w:val="20"/>
                <w:szCs w:val="20"/>
              </w:rPr>
            </w:pPr>
            <w:r>
              <w:rPr>
                <w:rFonts w:hint="eastAsia" w:ascii="宋体" w:hAnsi="宋体" w:cs="宋体"/>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E86379D">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432" w:type="pct"/>
            <w:tcBorders>
              <w:top w:val="single" w:color="auto" w:sz="4" w:space="0"/>
              <w:left w:val="nil"/>
              <w:bottom w:val="single" w:color="auto" w:sz="4" w:space="0"/>
              <w:right w:val="single" w:color="auto" w:sz="4" w:space="0"/>
            </w:tcBorders>
            <w:shd w:val="clear" w:color="auto" w:fill="auto"/>
            <w:vAlign w:val="center"/>
          </w:tcPr>
          <w:p w14:paraId="3E106252">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341AD072">
        <w:tblPrEx>
          <w:tblCellMar>
            <w:top w:w="0" w:type="dxa"/>
            <w:left w:w="108" w:type="dxa"/>
            <w:bottom w:w="0" w:type="dxa"/>
            <w:right w:w="108" w:type="dxa"/>
          </w:tblCellMar>
        </w:tblPrEx>
        <w:trPr>
          <w:trHeight w:val="439" w:hRule="atLeast"/>
        </w:trPr>
        <w:tc>
          <w:tcPr>
            <w:tcW w:w="737" w:type="pct"/>
            <w:gridSpan w:val="2"/>
            <w:vMerge w:val="continue"/>
            <w:tcBorders>
              <w:top w:val="single" w:color="auto" w:sz="4" w:space="0"/>
              <w:left w:val="single" w:color="auto" w:sz="4" w:space="0"/>
              <w:bottom w:val="single" w:color="auto" w:sz="4" w:space="0"/>
              <w:right w:val="single" w:color="auto" w:sz="4" w:space="0"/>
            </w:tcBorders>
            <w:vAlign w:val="center"/>
          </w:tcPr>
          <w:p w14:paraId="1C48A259">
            <w:pPr>
              <w:widowControl/>
              <w:jc w:val="left"/>
              <w:rPr>
                <w:rFonts w:hint="eastAsia" w:ascii="宋体" w:hAnsi="宋体" w:cs="宋体"/>
                <w:kern w:val="0"/>
                <w:sz w:val="20"/>
                <w:szCs w:val="20"/>
              </w:rPr>
            </w:pPr>
          </w:p>
        </w:tc>
        <w:tc>
          <w:tcPr>
            <w:tcW w:w="737" w:type="pct"/>
            <w:gridSpan w:val="2"/>
            <w:tcBorders>
              <w:top w:val="single" w:color="auto" w:sz="4" w:space="0"/>
              <w:left w:val="nil"/>
              <w:bottom w:val="single" w:color="auto" w:sz="4" w:space="0"/>
              <w:right w:val="single" w:color="auto" w:sz="4" w:space="0"/>
            </w:tcBorders>
            <w:shd w:val="clear" w:color="auto" w:fill="auto"/>
            <w:vAlign w:val="center"/>
          </w:tcPr>
          <w:p w14:paraId="2988F86A">
            <w:pPr>
              <w:widowControl/>
              <w:jc w:val="center"/>
              <w:rPr>
                <w:rFonts w:hint="eastAsia" w:ascii="宋体" w:hAnsi="宋体" w:cs="宋体"/>
                <w:kern w:val="0"/>
                <w:sz w:val="20"/>
                <w:szCs w:val="20"/>
              </w:rPr>
            </w:pPr>
            <w:r>
              <w:rPr>
                <w:rFonts w:hint="eastAsia" w:ascii="宋体" w:hAnsi="宋体" w:cs="宋体"/>
                <w:kern w:val="0"/>
                <w:sz w:val="20"/>
                <w:szCs w:val="20"/>
              </w:rPr>
              <w:t>年度资金总额</w:t>
            </w:r>
          </w:p>
        </w:tc>
        <w:tc>
          <w:tcPr>
            <w:tcW w:w="491" w:type="pct"/>
            <w:tcBorders>
              <w:top w:val="single" w:color="auto" w:sz="4" w:space="0"/>
              <w:left w:val="nil"/>
              <w:bottom w:val="single" w:color="auto" w:sz="4" w:space="0"/>
              <w:right w:val="single" w:color="auto" w:sz="4" w:space="0"/>
            </w:tcBorders>
            <w:shd w:val="clear" w:color="auto" w:fill="auto"/>
            <w:vAlign w:val="center"/>
          </w:tcPr>
          <w:p w14:paraId="06AECA4F">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201.00</w:t>
            </w:r>
          </w:p>
        </w:tc>
        <w:tc>
          <w:tcPr>
            <w:tcW w:w="732" w:type="pct"/>
            <w:gridSpan w:val="2"/>
            <w:tcBorders>
              <w:top w:val="single" w:color="auto" w:sz="4" w:space="0"/>
              <w:left w:val="nil"/>
              <w:bottom w:val="single" w:color="auto" w:sz="4" w:space="0"/>
              <w:right w:val="single" w:color="auto" w:sz="4" w:space="0"/>
            </w:tcBorders>
            <w:shd w:val="clear" w:color="auto" w:fill="auto"/>
            <w:vAlign w:val="center"/>
          </w:tcPr>
          <w:p w14:paraId="7A93FD55">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201.00</w:t>
            </w:r>
          </w:p>
        </w:tc>
        <w:tc>
          <w:tcPr>
            <w:tcW w:w="762" w:type="pct"/>
            <w:gridSpan w:val="2"/>
            <w:tcBorders>
              <w:top w:val="single" w:color="auto" w:sz="4" w:space="0"/>
              <w:left w:val="nil"/>
              <w:bottom w:val="single" w:color="auto" w:sz="4" w:space="0"/>
              <w:right w:val="single" w:color="auto" w:sz="4" w:space="0"/>
            </w:tcBorders>
            <w:shd w:val="clear" w:color="auto" w:fill="auto"/>
            <w:vAlign w:val="center"/>
          </w:tcPr>
          <w:p w14:paraId="1A6A8E68">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201.00</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04E5EE3F">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3F19ECA">
            <w:pPr>
              <w:widowControl/>
              <w:jc w:val="center"/>
              <w:rPr>
                <w:rFonts w:hint="eastAsia" w:ascii="宋体" w:hAnsi="宋体" w:cs="宋体"/>
                <w:kern w:val="0"/>
                <w:sz w:val="20"/>
                <w:szCs w:val="20"/>
              </w:rPr>
            </w:pPr>
            <w:r>
              <w:rPr>
                <w:rFonts w:hint="eastAsia" w:ascii="宋体" w:hAnsi="宋体" w:cs="宋体"/>
                <w:kern w:val="0"/>
                <w:sz w:val="20"/>
                <w:szCs w:val="20"/>
              </w:rPr>
              <w:t>100.00%</w:t>
            </w:r>
          </w:p>
        </w:tc>
        <w:tc>
          <w:tcPr>
            <w:tcW w:w="432" w:type="pct"/>
            <w:tcBorders>
              <w:top w:val="single" w:color="auto" w:sz="4" w:space="0"/>
              <w:left w:val="nil"/>
              <w:bottom w:val="single" w:color="auto" w:sz="4" w:space="0"/>
              <w:right w:val="single" w:color="auto" w:sz="4" w:space="0"/>
            </w:tcBorders>
            <w:shd w:val="clear" w:color="auto" w:fill="auto"/>
            <w:vAlign w:val="center"/>
          </w:tcPr>
          <w:p w14:paraId="67654BD3">
            <w:pPr>
              <w:widowControl/>
              <w:jc w:val="center"/>
              <w:rPr>
                <w:rFonts w:hint="eastAsia" w:ascii="宋体" w:hAnsi="宋体" w:cs="宋体"/>
                <w:kern w:val="0"/>
                <w:sz w:val="20"/>
                <w:szCs w:val="20"/>
              </w:rPr>
            </w:pPr>
            <w:r>
              <w:rPr>
                <w:rFonts w:hint="eastAsia" w:ascii="宋体" w:hAnsi="宋体" w:cs="宋体"/>
                <w:kern w:val="0"/>
                <w:sz w:val="20"/>
                <w:szCs w:val="20"/>
              </w:rPr>
              <w:t>10.00</w:t>
            </w:r>
          </w:p>
        </w:tc>
      </w:tr>
      <w:tr w14:paraId="2FEFB783">
        <w:tblPrEx>
          <w:tblCellMar>
            <w:top w:w="0" w:type="dxa"/>
            <w:left w:w="108" w:type="dxa"/>
            <w:bottom w:w="0" w:type="dxa"/>
            <w:right w:w="108" w:type="dxa"/>
          </w:tblCellMar>
        </w:tblPrEx>
        <w:trPr>
          <w:trHeight w:val="439" w:hRule="atLeast"/>
        </w:trPr>
        <w:tc>
          <w:tcPr>
            <w:tcW w:w="737" w:type="pct"/>
            <w:gridSpan w:val="2"/>
            <w:vMerge w:val="continue"/>
            <w:tcBorders>
              <w:top w:val="single" w:color="auto" w:sz="4" w:space="0"/>
              <w:left w:val="single" w:color="auto" w:sz="4" w:space="0"/>
              <w:bottom w:val="single" w:color="auto" w:sz="4" w:space="0"/>
              <w:right w:val="single" w:color="auto" w:sz="4" w:space="0"/>
            </w:tcBorders>
            <w:vAlign w:val="center"/>
          </w:tcPr>
          <w:p w14:paraId="03BB6362">
            <w:pPr>
              <w:widowControl/>
              <w:jc w:val="left"/>
              <w:rPr>
                <w:rFonts w:hint="eastAsia" w:ascii="宋体" w:hAnsi="宋体" w:cs="宋体"/>
                <w:kern w:val="0"/>
                <w:sz w:val="20"/>
                <w:szCs w:val="20"/>
              </w:rPr>
            </w:pPr>
          </w:p>
        </w:tc>
        <w:tc>
          <w:tcPr>
            <w:tcW w:w="737" w:type="pct"/>
            <w:gridSpan w:val="2"/>
            <w:tcBorders>
              <w:top w:val="single" w:color="auto" w:sz="4" w:space="0"/>
              <w:left w:val="nil"/>
              <w:bottom w:val="single" w:color="auto" w:sz="4" w:space="0"/>
              <w:right w:val="single" w:color="auto" w:sz="4" w:space="0"/>
            </w:tcBorders>
            <w:shd w:val="clear" w:color="auto" w:fill="auto"/>
            <w:vAlign w:val="center"/>
          </w:tcPr>
          <w:p w14:paraId="46E06265">
            <w:pPr>
              <w:widowControl/>
              <w:jc w:val="center"/>
              <w:rPr>
                <w:rFonts w:hint="eastAsia" w:ascii="宋体" w:hAnsi="宋体" w:cs="宋体"/>
                <w:kern w:val="0"/>
                <w:sz w:val="20"/>
                <w:szCs w:val="20"/>
              </w:rPr>
            </w:pPr>
            <w:r>
              <w:rPr>
                <w:rFonts w:hint="eastAsia" w:ascii="宋体" w:hAnsi="宋体" w:cs="宋体"/>
                <w:kern w:val="0"/>
                <w:sz w:val="20"/>
                <w:szCs w:val="20"/>
              </w:rPr>
              <w:t>其中：当年财政拨款</w:t>
            </w:r>
          </w:p>
        </w:tc>
        <w:tc>
          <w:tcPr>
            <w:tcW w:w="491" w:type="pct"/>
            <w:tcBorders>
              <w:top w:val="single" w:color="auto" w:sz="4" w:space="0"/>
              <w:left w:val="nil"/>
              <w:bottom w:val="single" w:color="auto" w:sz="4" w:space="0"/>
              <w:right w:val="single" w:color="auto" w:sz="4" w:space="0"/>
            </w:tcBorders>
            <w:shd w:val="clear" w:color="auto" w:fill="auto"/>
            <w:vAlign w:val="center"/>
          </w:tcPr>
          <w:p w14:paraId="292B9496">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201.00</w:t>
            </w:r>
          </w:p>
        </w:tc>
        <w:tc>
          <w:tcPr>
            <w:tcW w:w="732" w:type="pct"/>
            <w:gridSpan w:val="2"/>
            <w:tcBorders>
              <w:top w:val="single" w:color="auto" w:sz="4" w:space="0"/>
              <w:left w:val="nil"/>
              <w:bottom w:val="single" w:color="auto" w:sz="4" w:space="0"/>
              <w:right w:val="single" w:color="auto" w:sz="4" w:space="0"/>
            </w:tcBorders>
            <w:shd w:val="clear" w:color="auto" w:fill="auto"/>
            <w:vAlign w:val="center"/>
          </w:tcPr>
          <w:p w14:paraId="07EFF472">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201.00</w:t>
            </w:r>
          </w:p>
        </w:tc>
        <w:tc>
          <w:tcPr>
            <w:tcW w:w="762" w:type="pct"/>
            <w:gridSpan w:val="2"/>
            <w:tcBorders>
              <w:top w:val="single" w:color="auto" w:sz="4" w:space="0"/>
              <w:left w:val="nil"/>
              <w:bottom w:val="single" w:color="auto" w:sz="4" w:space="0"/>
              <w:right w:val="single" w:color="auto" w:sz="4" w:space="0"/>
            </w:tcBorders>
            <w:shd w:val="clear" w:color="auto" w:fill="auto"/>
            <w:vAlign w:val="center"/>
          </w:tcPr>
          <w:p w14:paraId="1B816480">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201.00</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4DF946F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F250C2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32" w:type="pct"/>
            <w:tcBorders>
              <w:top w:val="single" w:color="auto" w:sz="4" w:space="0"/>
              <w:left w:val="nil"/>
              <w:bottom w:val="single" w:color="auto" w:sz="4" w:space="0"/>
              <w:right w:val="single" w:color="auto" w:sz="4" w:space="0"/>
            </w:tcBorders>
            <w:shd w:val="clear" w:color="auto" w:fill="auto"/>
            <w:vAlign w:val="center"/>
          </w:tcPr>
          <w:p w14:paraId="7B4F6557">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6A88E3B">
        <w:tblPrEx>
          <w:tblCellMar>
            <w:top w:w="0" w:type="dxa"/>
            <w:left w:w="108" w:type="dxa"/>
            <w:bottom w:w="0" w:type="dxa"/>
            <w:right w:w="108" w:type="dxa"/>
          </w:tblCellMar>
        </w:tblPrEx>
        <w:trPr>
          <w:trHeight w:val="439" w:hRule="atLeast"/>
        </w:trPr>
        <w:tc>
          <w:tcPr>
            <w:tcW w:w="737" w:type="pct"/>
            <w:gridSpan w:val="2"/>
            <w:vMerge w:val="continue"/>
            <w:tcBorders>
              <w:top w:val="single" w:color="auto" w:sz="4" w:space="0"/>
              <w:left w:val="single" w:color="auto" w:sz="4" w:space="0"/>
              <w:bottom w:val="single" w:color="auto" w:sz="4" w:space="0"/>
              <w:right w:val="single" w:color="auto" w:sz="4" w:space="0"/>
            </w:tcBorders>
            <w:vAlign w:val="center"/>
          </w:tcPr>
          <w:p w14:paraId="5A4EA719">
            <w:pPr>
              <w:widowControl/>
              <w:jc w:val="left"/>
              <w:rPr>
                <w:rFonts w:hint="eastAsia" w:ascii="宋体" w:hAnsi="宋体" w:cs="宋体"/>
                <w:kern w:val="0"/>
                <w:sz w:val="20"/>
                <w:szCs w:val="20"/>
              </w:rPr>
            </w:pPr>
          </w:p>
        </w:tc>
        <w:tc>
          <w:tcPr>
            <w:tcW w:w="737" w:type="pct"/>
            <w:gridSpan w:val="2"/>
            <w:tcBorders>
              <w:top w:val="single" w:color="auto" w:sz="4" w:space="0"/>
              <w:left w:val="nil"/>
              <w:bottom w:val="single" w:color="auto" w:sz="4" w:space="0"/>
              <w:right w:val="single" w:color="auto" w:sz="4" w:space="0"/>
            </w:tcBorders>
            <w:shd w:val="clear" w:color="auto" w:fill="auto"/>
            <w:vAlign w:val="center"/>
          </w:tcPr>
          <w:p w14:paraId="166D4C3E">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491" w:type="pct"/>
            <w:tcBorders>
              <w:top w:val="single" w:color="auto" w:sz="4" w:space="0"/>
              <w:left w:val="nil"/>
              <w:bottom w:val="single" w:color="auto" w:sz="4" w:space="0"/>
              <w:right w:val="single" w:color="auto" w:sz="4" w:space="0"/>
            </w:tcBorders>
            <w:shd w:val="clear" w:color="auto" w:fill="auto"/>
            <w:vAlign w:val="center"/>
          </w:tcPr>
          <w:p w14:paraId="7A12980C">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32" w:type="pct"/>
            <w:gridSpan w:val="2"/>
            <w:tcBorders>
              <w:top w:val="single" w:color="auto" w:sz="4" w:space="0"/>
              <w:left w:val="nil"/>
              <w:bottom w:val="single" w:color="auto" w:sz="4" w:space="0"/>
              <w:right w:val="single" w:color="auto" w:sz="4" w:space="0"/>
            </w:tcBorders>
            <w:shd w:val="clear" w:color="auto" w:fill="auto"/>
            <w:vAlign w:val="center"/>
          </w:tcPr>
          <w:p w14:paraId="36600709">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62" w:type="pct"/>
            <w:gridSpan w:val="2"/>
            <w:tcBorders>
              <w:top w:val="single" w:color="auto" w:sz="4" w:space="0"/>
              <w:left w:val="nil"/>
              <w:bottom w:val="single" w:color="auto" w:sz="4" w:space="0"/>
              <w:right w:val="single" w:color="auto" w:sz="4" w:space="0"/>
            </w:tcBorders>
            <w:shd w:val="clear" w:color="auto" w:fill="auto"/>
            <w:vAlign w:val="center"/>
          </w:tcPr>
          <w:p w14:paraId="1CFAB5B8">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591A185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924291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32" w:type="pct"/>
            <w:tcBorders>
              <w:top w:val="single" w:color="auto" w:sz="4" w:space="0"/>
              <w:left w:val="nil"/>
              <w:bottom w:val="single" w:color="auto" w:sz="4" w:space="0"/>
              <w:right w:val="single" w:color="auto" w:sz="4" w:space="0"/>
            </w:tcBorders>
            <w:shd w:val="clear" w:color="auto" w:fill="auto"/>
            <w:vAlign w:val="center"/>
          </w:tcPr>
          <w:p w14:paraId="5B49BB70">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B3E4AA0">
        <w:tblPrEx>
          <w:tblCellMar>
            <w:top w:w="0" w:type="dxa"/>
            <w:left w:w="108" w:type="dxa"/>
            <w:bottom w:w="0" w:type="dxa"/>
            <w:right w:w="108" w:type="dxa"/>
          </w:tblCellMar>
        </w:tblPrEx>
        <w:trPr>
          <w:trHeight w:val="270" w:hRule="atLeast"/>
        </w:trPr>
        <w:tc>
          <w:tcPr>
            <w:tcW w:w="36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653F67">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2331" w:type="pct"/>
            <w:gridSpan w:val="6"/>
            <w:tcBorders>
              <w:top w:val="single" w:color="auto" w:sz="4" w:space="0"/>
              <w:left w:val="nil"/>
              <w:bottom w:val="single" w:color="auto" w:sz="4" w:space="0"/>
              <w:right w:val="single" w:color="auto" w:sz="4" w:space="0"/>
            </w:tcBorders>
            <w:shd w:val="clear" w:color="auto" w:fill="auto"/>
            <w:vAlign w:val="center"/>
          </w:tcPr>
          <w:p w14:paraId="763E47AE">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2301" w:type="pct"/>
            <w:gridSpan w:val="7"/>
            <w:tcBorders>
              <w:top w:val="single" w:color="auto" w:sz="4" w:space="0"/>
              <w:left w:val="nil"/>
              <w:bottom w:val="single" w:color="auto" w:sz="4" w:space="0"/>
              <w:right w:val="single" w:color="auto" w:sz="4" w:space="0"/>
            </w:tcBorders>
            <w:shd w:val="clear" w:color="auto" w:fill="auto"/>
            <w:vAlign w:val="center"/>
          </w:tcPr>
          <w:p w14:paraId="4E50C264">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18D9AD72">
        <w:tblPrEx>
          <w:tblCellMar>
            <w:top w:w="0" w:type="dxa"/>
            <w:left w:w="108" w:type="dxa"/>
            <w:bottom w:w="0" w:type="dxa"/>
            <w:right w:w="108" w:type="dxa"/>
          </w:tblCellMar>
        </w:tblPrEx>
        <w:trPr>
          <w:trHeight w:val="540" w:hRule="atLeast"/>
        </w:trPr>
        <w:tc>
          <w:tcPr>
            <w:tcW w:w="367" w:type="pct"/>
            <w:vMerge w:val="continue"/>
            <w:tcBorders>
              <w:top w:val="single" w:color="auto" w:sz="4" w:space="0"/>
              <w:left w:val="single" w:color="auto" w:sz="4" w:space="0"/>
              <w:bottom w:val="single" w:color="auto" w:sz="4" w:space="0"/>
              <w:right w:val="single" w:color="auto" w:sz="4" w:space="0"/>
            </w:tcBorders>
            <w:vAlign w:val="center"/>
          </w:tcPr>
          <w:p w14:paraId="6FC19CDC">
            <w:pPr>
              <w:widowControl/>
              <w:jc w:val="left"/>
              <w:rPr>
                <w:rFonts w:hint="eastAsia" w:ascii="宋体" w:hAnsi="宋体" w:cs="宋体"/>
                <w:kern w:val="0"/>
                <w:sz w:val="20"/>
                <w:szCs w:val="20"/>
              </w:rPr>
            </w:pPr>
          </w:p>
        </w:tc>
        <w:tc>
          <w:tcPr>
            <w:tcW w:w="2331" w:type="pct"/>
            <w:gridSpan w:val="6"/>
            <w:tcBorders>
              <w:top w:val="single" w:color="auto" w:sz="4" w:space="0"/>
              <w:left w:val="single" w:color="auto" w:sz="4" w:space="0"/>
              <w:bottom w:val="single" w:color="auto" w:sz="4" w:space="0"/>
              <w:right w:val="single" w:color="auto" w:sz="4" w:space="0"/>
            </w:tcBorders>
            <w:shd w:val="clear" w:color="auto" w:fill="auto"/>
          </w:tcPr>
          <w:p w14:paraId="71ABA1B9">
            <w:pPr>
              <w:widowControl/>
              <w:jc w:val="left"/>
              <w:rPr>
                <w:rFonts w:hint="eastAsia" w:ascii="宋体" w:hAnsi="宋体" w:cs="宋体"/>
                <w:kern w:val="0"/>
                <w:sz w:val="20"/>
                <w:szCs w:val="20"/>
              </w:rPr>
            </w:pPr>
            <w:r>
              <w:rPr>
                <w:rFonts w:hint="eastAsia" w:ascii="宋体" w:hAnsi="宋体" w:cs="宋体"/>
                <w:kern w:val="0"/>
                <w:sz w:val="20"/>
                <w:szCs w:val="20"/>
              </w:rPr>
              <w:t>通过项目建设，可有效地使周边生态环境也得到改善，通过围栏工程8万亩，减轻草原放牧压力，恢复草原植被盖度率，退化草原得到恢复，风沙侵害有效遏制，水土流失问题得到整治，使改善生态环境。</w:t>
            </w:r>
          </w:p>
        </w:tc>
        <w:tc>
          <w:tcPr>
            <w:tcW w:w="2301" w:type="pct"/>
            <w:gridSpan w:val="7"/>
            <w:tcBorders>
              <w:top w:val="single" w:color="auto" w:sz="4" w:space="0"/>
              <w:left w:val="single" w:color="auto" w:sz="4" w:space="0"/>
              <w:bottom w:val="single" w:color="auto" w:sz="4" w:space="0"/>
              <w:right w:val="single" w:color="auto" w:sz="4" w:space="0"/>
            </w:tcBorders>
            <w:shd w:val="clear" w:color="auto" w:fill="auto"/>
          </w:tcPr>
          <w:p w14:paraId="60683582">
            <w:pPr>
              <w:widowControl/>
              <w:jc w:val="left"/>
              <w:rPr>
                <w:rFonts w:hint="eastAsia" w:ascii="宋体" w:hAnsi="宋体" w:cs="宋体"/>
                <w:kern w:val="0"/>
                <w:sz w:val="20"/>
                <w:szCs w:val="20"/>
              </w:rPr>
            </w:pPr>
            <w:r>
              <w:rPr>
                <w:rFonts w:hint="eastAsia" w:ascii="宋体" w:hAnsi="宋体" w:cs="宋体"/>
                <w:kern w:val="0"/>
                <w:sz w:val="20"/>
                <w:szCs w:val="20"/>
              </w:rPr>
              <w:t>截止本项目完成时限，我单位针对本项目已完成如下工作：退还草原生态修复治理面积8万亩，减轻了草原放牧压力，恢复了草原植被盖度率，退化草原得到了恢复，风沙侵害有效遏制，水土流失问题得到整治，改善了生态环境。</w:t>
            </w:r>
          </w:p>
        </w:tc>
      </w:tr>
      <w:tr w14:paraId="70B0F904">
        <w:tblPrEx>
          <w:tblCellMar>
            <w:top w:w="0" w:type="dxa"/>
            <w:left w:w="108" w:type="dxa"/>
            <w:bottom w:w="0" w:type="dxa"/>
            <w:right w:w="108" w:type="dxa"/>
          </w:tblCellMar>
        </w:tblPrEx>
        <w:trPr>
          <w:trHeight w:val="312" w:hRule="atLeast"/>
        </w:trPr>
        <w:tc>
          <w:tcPr>
            <w:tcW w:w="36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DFB37F">
            <w:pPr>
              <w:widowControl/>
              <w:jc w:val="center"/>
              <w:rPr>
                <w:rFonts w:hint="eastAsia" w:ascii="宋体" w:hAnsi="宋体" w:cs="宋体"/>
                <w:kern w:val="0"/>
                <w:sz w:val="20"/>
                <w:szCs w:val="20"/>
              </w:rPr>
            </w:pPr>
          </w:p>
        </w:tc>
        <w:tc>
          <w:tcPr>
            <w:tcW w:w="36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F5FB1C">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61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AF3145">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8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020492">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52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765372">
            <w:pPr>
              <w:widowControl/>
              <w:jc w:val="center"/>
              <w:rPr>
                <w:rFonts w:hint="eastAsia" w:ascii="宋体" w:hAnsi="宋体" w:cs="宋体"/>
                <w:kern w:val="0"/>
                <w:sz w:val="20"/>
                <w:szCs w:val="20"/>
              </w:rPr>
            </w:pPr>
            <w:r>
              <w:rPr>
                <w:rFonts w:hint="eastAsia" w:ascii="宋体" w:hAnsi="宋体" w:cs="宋体"/>
                <w:kern w:val="0"/>
                <w:sz w:val="20"/>
                <w:szCs w:val="20"/>
              </w:rPr>
              <w:t>年度指标值</w:t>
            </w:r>
          </w:p>
        </w:tc>
        <w:tc>
          <w:tcPr>
            <w:tcW w:w="46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6C005F">
            <w:pPr>
              <w:widowControl/>
              <w:jc w:val="center"/>
              <w:rPr>
                <w:rFonts w:hint="eastAsia" w:ascii="宋体" w:hAnsi="宋体" w:cs="宋体"/>
                <w:kern w:val="0"/>
                <w:sz w:val="20"/>
                <w:szCs w:val="20"/>
              </w:rPr>
            </w:pPr>
            <w:r>
              <w:rPr>
                <w:rFonts w:hint="eastAsia" w:ascii="宋体" w:hAnsi="宋体" w:cs="宋体"/>
                <w:kern w:val="0"/>
                <w:sz w:val="20"/>
                <w:szCs w:val="20"/>
              </w:rPr>
              <w:t>实际完成值</w:t>
            </w:r>
          </w:p>
        </w:tc>
        <w:tc>
          <w:tcPr>
            <w:tcW w:w="55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57330C">
            <w:pPr>
              <w:widowControl/>
              <w:jc w:val="center"/>
              <w:rPr>
                <w:rFonts w:hint="eastAsia" w:ascii="宋体" w:hAnsi="宋体" w:cs="宋体"/>
                <w:kern w:val="0"/>
                <w:sz w:val="20"/>
                <w:szCs w:val="20"/>
              </w:rPr>
            </w:pPr>
            <w:r>
              <w:rPr>
                <w:rFonts w:hint="eastAsia" w:ascii="宋体" w:hAnsi="宋体" w:cs="宋体"/>
                <w:kern w:val="0"/>
                <w:sz w:val="20"/>
                <w:szCs w:val="20"/>
              </w:rPr>
              <w:t>分值</w:t>
            </w:r>
          </w:p>
        </w:tc>
        <w:tc>
          <w:tcPr>
            <w:tcW w:w="55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4E3AD6">
            <w:pPr>
              <w:widowControl/>
              <w:jc w:val="center"/>
              <w:rPr>
                <w:rFonts w:hint="eastAsia" w:ascii="宋体" w:hAnsi="宋体" w:cs="宋体"/>
                <w:kern w:val="0"/>
                <w:sz w:val="20"/>
                <w:szCs w:val="20"/>
              </w:rPr>
            </w:pPr>
            <w:r>
              <w:rPr>
                <w:rFonts w:hint="eastAsia" w:ascii="宋体" w:hAnsi="宋体" w:cs="宋体"/>
                <w:kern w:val="0"/>
                <w:sz w:val="20"/>
                <w:szCs w:val="20"/>
              </w:rPr>
              <w:t>得分</w:t>
            </w:r>
          </w:p>
        </w:tc>
        <w:tc>
          <w:tcPr>
            <w:tcW w:w="7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33F7A9">
            <w:pPr>
              <w:widowControl/>
              <w:jc w:val="center"/>
              <w:rPr>
                <w:rFonts w:hint="eastAsia" w:ascii="宋体" w:hAnsi="宋体" w:cs="宋体"/>
                <w:kern w:val="0"/>
                <w:sz w:val="20"/>
                <w:szCs w:val="20"/>
              </w:rPr>
            </w:pPr>
            <w:r>
              <w:rPr>
                <w:rFonts w:hint="eastAsia" w:ascii="宋体" w:hAnsi="宋体" w:cs="宋体"/>
                <w:kern w:val="0"/>
                <w:sz w:val="20"/>
                <w:szCs w:val="20"/>
              </w:rPr>
              <w:t>偏差原因分析及改进措施</w:t>
            </w:r>
          </w:p>
        </w:tc>
      </w:tr>
      <w:tr w14:paraId="4A6B6492">
        <w:tblPrEx>
          <w:tblCellMar>
            <w:top w:w="0" w:type="dxa"/>
            <w:left w:w="108" w:type="dxa"/>
            <w:bottom w:w="0" w:type="dxa"/>
            <w:right w:w="108" w:type="dxa"/>
          </w:tblCellMar>
        </w:tblPrEx>
        <w:trPr>
          <w:trHeight w:val="312" w:hRule="atLeast"/>
        </w:trPr>
        <w:tc>
          <w:tcPr>
            <w:tcW w:w="367" w:type="pct"/>
            <w:vMerge w:val="continue"/>
            <w:tcBorders>
              <w:top w:val="single" w:color="auto" w:sz="4" w:space="0"/>
              <w:left w:val="single" w:color="auto" w:sz="4" w:space="0"/>
              <w:bottom w:val="single" w:color="auto" w:sz="4" w:space="0"/>
              <w:right w:val="single" w:color="auto" w:sz="4" w:space="0"/>
            </w:tcBorders>
            <w:vAlign w:val="center"/>
          </w:tcPr>
          <w:p w14:paraId="504DFA93">
            <w:pPr>
              <w:widowControl/>
              <w:jc w:val="left"/>
              <w:rPr>
                <w:rFonts w:hint="eastAsia" w:ascii="宋体" w:hAnsi="宋体" w:cs="宋体"/>
                <w:kern w:val="0"/>
                <w:sz w:val="20"/>
                <w:szCs w:val="20"/>
              </w:rPr>
            </w:pPr>
          </w:p>
        </w:tc>
        <w:tc>
          <w:tcPr>
            <w:tcW w:w="369" w:type="pct"/>
            <w:vMerge w:val="continue"/>
            <w:tcBorders>
              <w:top w:val="single" w:color="auto" w:sz="4" w:space="0"/>
              <w:left w:val="single" w:color="auto" w:sz="4" w:space="0"/>
              <w:bottom w:val="single" w:color="auto" w:sz="4" w:space="0"/>
              <w:right w:val="single" w:color="auto" w:sz="4" w:space="0"/>
            </w:tcBorders>
            <w:vAlign w:val="center"/>
          </w:tcPr>
          <w:p w14:paraId="5A92B770">
            <w:pPr>
              <w:widowControl/>
              <w:jc w:val="left"/>
              <w:rPr>
                <w:rFonts w:hint="eastAsia" w:ascii="宋体" w:hAnsi="宋体" w:cs="宋体"/>
                <w:kern w:val="0"/>
                <w:sz w:val="20"/>
                <w:szCs w:val="20"/>
              </w:rPr>
            </w:pPr>
          </w:p>
        </w:tc>
        <w:tc>
          <w:tcPr>
            <w:tcW w:w="613" w:type="pct"/>
            <w:vMerge w:val="continue"/>
            <w:tcBorders>
              <w:top w:val="single" w:color="auto" w:sz="4" w:space="0"/>
              <w:left w:val="single" w:color="auto" w:sz="4" w:space="0"/>
              <w:bottom w:val="single" w:color="auto" w:sz="4" w:space="0"/>
              <w:right w:val="single" w:color="auto" w:sz="4" w:space="0"/>
            </w:tcBorders>
            <w:vAlign w:val="center"/>
          </w:tcPr>
          <w:p w14:paraId="49941BF4">
            <w:pPr>
              <w:widowControl/>
              <w:jc w:val="left"/>
              <w:rPr>
                <w:rFonts w:hint="eastAsia" w:ascii="宋体" w:hAnsi="宋体" w:cs="宋体"/>
                <w:kern w:val="0"/>
                <w:sz w:val="20"/>
                <w:szCs w:val="20"/>
              </w:rPr>
            </w:pPr>
          </w:p>
        </w:tc>
        <w:tc>
          <w:tcPr>
            <w:tcW w:w="818" w:type="pct"/>
            <w:gridSpan w:val="3"/>
            <w:vMerge w:val="continue"/>
            <w:tcBorders>
              <w:top w:val="single" w:color="auto" w:sz="4" w:space="0"/>
              <w:left w:val="single" w:color="auto" w:sz="4" w:space="0"/>
              <w:bottom w:val="single" w:color="auto" w:sz="4" w:space="0"/>
              <w:right w:val="single" w:color="auto" w:sz="4" w:space="0"/>
            </w:tcBorders>
            <w:vAlign w:val="center"/>
          </w:tcPr>
          <w:p w14:paraId="5201386E">
            <w:pPr>
              <w:widowControl/>
              <w:jc w:val="left"/>
              <w:rPr>
                <w:rFonts w:hint="eastAsia" w:ascii="宋体" w:hAnsi="宋体" w:cs="宋体"/>
                <w:kern w:val="0"/>
                <w:sz w:val="20"/>
                <w:szCs w:val="20"/>
              </w:rPr>
            </w:pPr>
          </w:p>
        </w:tc>
        <w:tc>
          <w:tcPr>
            <w:tcW w:w="529" w:type="pct"/>
            <w:vMerge w:val="continue"/>
            <w:tcBorders>
              <w:top w:val="single" w:color="auto" w:sz="4" w:space="0"/>
              <w:left w:val="single" w:color="auto" w:sz="4" w:space="0"/>
              <w:bottom w:val="single" w:color="auto" w:sz="4" w:space="0"/>
              <w:right w:val="single" w:color="auto" w:sz="4" w:space="0"/>
            </w:tcBorders>
            <w:vAlign w:val="center"/>
          </w:tcPr>
          <w:p w14:paraId="13DEB72B">
            <w:pPr>
              <w:widowControl/>
              <w:jc w:val="left"/>
              <w:rPr>
                <w:rFonts w:hint="eastAsia" w:ascii="宋体" w:hAnsi="宋体" w:cs="宋体"/>
                <w:kern w:val="0"/>
                <w:sz w:val="20"/>
                <w:szCs w:val="20"/>
              </w:rPr>
            </w:pPr>
          </w:p>
        </w:tc>
        <w:tc>
          <w:tcPr>
            <w:tcW w:w="468" w:type="pct"/>
            <w:vMerge w:val="continue"/>
            <w:tcBorders>
              <w:top w:val="single" w:color="auto" w:sz="4" w:space="0"/>
              <w:left w:val="single" w:color="auto" w:sz="4" w:space="0"/>
              <w:bottom w:val="single" w:color="auto" w:sz="4" w:space="0"/>
              <w:right w:val="single" w:color="auto" w:sz="4" w:space="0"/>
            </w:tcBorders>
            <w:vAlign w:val="center"/>
          </w:tcPr>
          <w:p w14:paraId="6225B2FA">
            <w:pPr>
              <w:widowControl/>
              <w:jc w:val="left"/>
              <w:rPr>
                <w:rFonts w:hint="eastAsia" w:ascii="宋体" w:hAnsi="宋体" w:cs="宋体"/>
                <w:kern w:val="0"/>
                <w:sz w:val="20"/>
                <w:szCs w:val="20"/>
              </w:rPr>
            </w:pPr>
          </w:p>
        </w:tc>
        <w:tc>
          <w:tcPr>
            <w:tcW w:w="554" w:type="pct"/>
            <w:gridSpan w:val="2"/>
            <w:vMerge w:val="continue"/>
            <w:tcBorders>
              <w:top w:val="single" w:color="auto" w:sz="4" w:space="0"/>
              <w:left w:val="single" w:color="auto" w:sz="4" w:space="0"/>
              <w:bottom w:val="single" w:color="auto" w:sz="4" w:space="0"/>
              <w:right w:val="single" w:color="auto" w:sz="4" w:space="0"/>
            </w:tcBorders>
            <w:vAlign w:val="center"/>
          </w:tcPr>
          <w:p w14:paraId="5B50102A">
            <w:pPr>
              <w:widowControl/>
              <w:jc w:val="left"/>
              <w:rPr>
                <w:rFonts w:hint="eastAsia" w:ascii="宋体" w:hAnsi="宋体" w:cs="宋体"/>
                <w:kern w:val="0"/>
                <w:sz w:val="20"/>
                <w:szCs w:val="20"/>
              </w:rPr>
            </w:pPr>
          </w:p>
        </w:tc>
        <w:tc>
          <w:tcPr>
            <w:tcW w:w="553" w:type="pct"/>
            <w:gridSpan w:val="2"/>
            <w:vMerge w:val="continue"/>
            <w:tcBorders>
              <w:top w:val="single" w:color="auto" w:sz="4" w:space="0"/>
              <w:left w:val="single" w:color="auto" w:sz="4" w:space="0"/>
              <w:bottom w:val="single" w:color="auto" w:sz="4" w:space="0"/>
              <w:right w:val="single" w:color="auto" w:sz="4" w:space="0"/>
            </w:tcBorders>
            <w:vAlign w:val="center"/>
          </w:tcPr>
          <w:p w14:paraId="2988F1F4">
            <w:pPr>
              <w:widowControl/>
              <w:jc w:val="left"/>
              <w:rPr>
                <w:rFonts w:hint="eastAsia" w:ascii="宋体" w:hAnsi="宋体" w:cs="宋体"/>
                <w:kern w:val="0"/>
                <w:sz w:val="20"/>
                <w:szCs w:val="20"/>
              </w:rPr>
            </w:pPr>
          </w:p>
        </w:tc>
        <w:tc>
          <w:tcPr>
            <w:tcW w:w="725" w:type="pct"/>
            <w:gridSpan w:val="2"/>
            <w:vMerge w:val="continue"/>
            <w:tcBorders>
              <w:top w:val="single" w:color="auto" w:sz="4" w:space="0"/>
              <w:left w:val="single" w:color="auto" w:sz="4" w:space="0"/>
              <w:bottom w:val="single" w:color="auto" w:sz="4" w:space="0"/>
              <w:right w:val="single" w:color="auto" w:sz="4" w:space="0"/>
            </w:tcBorders>
            <w:vAlign w:val="center"/>
          </w:tcPr>
          <w:p w14:paraId="05B6D730">
            <w:pPr>
              <w:widowControl/>
              <w:jc w:val="left"/>
              <w:rPr>
                <w:rFonts w:hint="eastAsia" w:ascii="宋体" w:hAnsi="宋体" w:cs="宋体"/>
                <w:kern w:val="0"/>
                <w:sz w:val="20"/>
                <w:szCs w:val="20"/>
              </w:rPr>
            </w:pPr>
          </w:p>
        </w:tc>
      </w:tr>
      <w:tr w14:paraId="60C390A7">
        <w:tblPrEx>
          <w:tblCellMar>
            <w:top w:w="0" w:type="dxa"/>
            <w:left w:w="108" w:type="dxa"/>
            <w:bottom w:w="0" w:type="dxa"/>
            <w:right w:w="108" w:type="dxa"/>
          </w:tblCellMar>
        </w:tblPrEx>
        <w:trPr>
          <w:trHeight w:val="402" w:hRule="atLeast"/>
        </w:trPr>
        <w:tc>
          <w:tcPr>
            <w:tcW w:w="36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FE219D">
            <w:pPr>
              <w:widowControl/>
              <w:jc w:val="center"/>
              <w:rPr>
                <w:rFonts w:hint="eastAsia" w:ascii="宋体" w:hAnsi="宋体" w:cs="宋体"/>
                <w:kern w:val="0"/>
                <w:sz w:val="20"/>
                <w:szCs w:val="20"/>
              </w:rPr>
            </w:pPr>
            <w:r>
              <w:rPr>
                <w:rFonts w:hint="eastAsia" w:ascii="宋体" w:hAnsi="宋体" w:cs="宋体"/>
                <w:kern w:val="0"/>
                <w:sz w:val="20"/>
                <w:szCs w:val="20"/>
              </w:rPr>
              <w:t>年度绩效指标完成情况</w:t>
            </w:r>
          </w:p>
        </w:tc>
        <w:tc>
          <w:tcPr>
            <w:tcW w:w="36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5C3F13">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613" w:type="pct"/>
            <w:tcBorders>
              <w:top w:val="single" w:color="auto" w:sz="4" w:space="0"/>
              <w:left w:val="single" w:color="auto" w:sz="4" w:space="0"/>
              <w:bottom w:val="single" w:color="auto" w:sz="4" w:space="0"/>
              <w:right w:val="single" w:color="auto" w:sz="4" w:space="0"/>
            </w:tcBorders>
            <w:shd w:val="clear" w:color="auto" w:fill="auto"/>
            <w:vAlign w:val="center"/>
          </w:tcPr>
          <w:p w14:paraId="11ECC134">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81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2BCA0C3">
            <w:pPr>
              <w:widowControl/>
              <w:jc w:val="left"/>
              <w:rPr>
                <w:rFonts w:hint="eastAsia" w:ascii="宋体" w:hAnsi="宋体" w:cs="宋体"/>
                <w:kern w:val="0"/>
                <w:sz w:val="20"/>
                <w:szCs w:val="20"/>
              </w:rPr>
            </w:pPr>
            <w:r>
              <w:rPr>
                <w:rFonts w:hint="eastAsia" w:ascii="宋体" w:hAnsi="宋体" w:cs="宋体"/>
                <w:kern w:val="0"/>
                <w:sz w:val="20"/>
                <w:szCs w:val="20"/>
              </w:rPr>
              <w:t>退还草原生态修复治理面积</w:t>
            </w:r>
          </w:p>
        </w:tc>
        <w:tc>
          <w:tcPr>
            <w:tcW w:w="529" w:type="pct"/>
            <w:tcBorders>
              <w:top w:val="single" w:color="auto" w:sz="4" w:space="0"/>
              <w:left w:val="single" w:color="auto" w:sz="4" w:space="0"/>
              <w:bottom w:val="single" w:color="auto" w:sz="4" w:space="0"/>
              <w:right w:val="single" w:color="auto" w:sz="4" w:space="0"/>
            </w:tcBorders>
            <w:shd w:val="clear" w:color="auto" w:fill="auto"/>
            <w:vAlign w:val="center"/>
          </w:tcPr>
          <w:p w14:paraId="59702D82">
            <w:pPr>
              <w:widowControl/>
              <w:jc w:val="center"/>
              <w:rPr>
                <w:rFonts w:hint="eastAsia" w:ascii="宋体" w:hAnsi="宋体" w:cs="宋体"/>
                <w:kern w:val="0"/>
                <w:sz w:val="20"/>
                <w:szCs w:val="20"/>
              </w:rPr>
            </w:pPr>
            <w:r>
              <w:rPr>
                <w:rFonts w:hint="eastAsia" w:ascii="宋体" w:hAnsi="宋体" w:cs="宋体"/>
                <w:kern w:val="0"/>
                <w:sz w:val="20"/>
                <w:szCs w:val="20"/>
              </w:rPr>
              <w:t>&gt;=8万亩</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3F8EB7CE">
            <w:pPr>
              <w:widowControl/>
              <w:jc w:val="center"/>
              <w:rPr>
                <w:rFonts w:hint="eastAsia" w:ascii="宋体" w:hAnsi="宋体" w:cs="宋体"/>
                <w:kern w:val="0"/>
                <w:sz w:val="20"/>
                <w:szCs w:val="20"/>
              </w:rPr>
            </w:pPr>
            <w:r>
              <w:rPr>
                <w:rFonts w:hint="eastAsia" w:ascii="宋体" w:hAnsi="宋体" w:cs="宋体"/>
                <w:kern w:val="0"/>
                <w:sz w:val="20"/>
                <w:szCs w:val="20"/>
              </w:rPr>
              <w:t>=8万亩</w:t>
            </w:r>
          </w:p>
        </w:tc>
        <w:tc>
          <w:tcPr>
            <w:tcW w:w="5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2E4309">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CE8B02">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B7A44A">
            <w:pPr>
              <w:widowControl/>
              <w:jc w:val="center"/>
              <w:rPr>
                <w:rFonts w:hint="eastAsia" w:ascii="宋体" w:hAnsi="宋体" w:cs="宋体"/>
                <w:kern w:val="0"/>
                <w:sz w:val="20"/>
                <w:szCs w:val="20"/>
              </w:rPr>
            </w:pPr>
          </w:p>
        </w:tc>
      </w:tr>
      <w:tr w14:paraId="79A17D65">
        <w:tblPrEx>
          <w:tblCellMar>
            <w:top w:w="0" w:type="dxa"/>
            <w:left w:w="108" w:type="dxa"/>
            <w:bottom w:w="0" w:type="dxa"/>
            <w:right w:w="108" w:type="dxa"/>
          </w:tblCellMar>
        </w:tblPrEx>
        <w:trPr>
          <w:trHeight w:val="402" w:hRule="atLeast"/>
        </w:trPr>
        <w:tc>
          <w:tcPr>
            <w:tcW w:w="367" w:type="pct"/>
            <w:vMerge w:val="continue"/>
            <w:tcBorders>
              <w:top w:val="single" w:color="auto" w:sz="4" w:space="0"/>
              <w:left w:val="single" w:color="auto" w:sz="4" w:space="0"/>
              <w:bottom w:val="single" w:color="auto" w:sz="4" w:space="0"/>
              <w:right w:val="single" w:color="auto" w:sz="4" w:space="0"/>
            </w:tcBorders>
            <w:vAlign w:val="center"/>
          </w:tcPr>
          <w:p w14:paraId="49914BDB">
            <w:pPr>
              <w:widowControl/>
              <w:jc w:val="left"/>
              <w:rPr>
                <w:rFonts w:hint="eastAsia" w:ascii="宋体" w:hAnsi="宋体" w:cs="宋体"/>
                <w:kern w:val="0"/>
                <w:sz w:val="20"/>
                <w:szCs w:val="20"/>
              </w:rPr>
            </w:pPr>
          </w:p>
        </w:tc>
        <w:tc>
          <w:tcPr>
            <w:tcW w:w="369" w:type="pct"/>
            <w:vMerge w:val="continue"/>
            <w:tcBorders>
              <w:top w:val="single" w:color="auto" w:sz="4" w:space="0"/>
              <w:left w:val="single" w:color="auto" w:sz="4" w:space="0"/>
              <w:bottom w:val="single" w:color="auto" w:sz="4" w:space="0"/>
              <w:right w:val="single" w:color="auto" w:sz="4" w:space="0"/>
            </w:tcBorders>
            <w:vAlign w:val="center"/>
          </w:tcPr>
          <w:p w14:paraId="6617EDB1">
            <w:pPr>
              <w:widowControl/>
              <w:jc w:val="left"/>
              <w:rPr>
                <w:rFonts w:hint="eastAsia" w:ascii="宋体" w:hAnsi="宋体" w:cs="宋体"/>
                <w:kern w:val="0"/>
                <w:sz w:val="20"/>
                <w:szCs w:val="20"/>
              </w:rPr>
            </w:pPr>
          </w:p>
        </w:tc>
        <w:tc>
          <w:tcPr>
            <w:tcW w:w="613" w:type="pct"/>
            <w:tcBorders>
              <w:top w:val="single" w:color="auto" w:sz="4" w:space="0"/>
              <w:left w:val="single" w:color="auto" w:sz="4" w:space="0"/>
              <w:bottom w:val="single" w:color="auto" w:sz="4" w:space="0"/>
              <w:right w:val="single" w:color="auto" w:sz="4" w:space="0"/>
            </w:tcBorders>
            <w:shd w:val="clear" w:color="auto" w:fill="auto"/>
            <w:vAlign w:val="center"/>
          </w:tcPr>
          <w:p w14:paraId="3F069709">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81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ADD1825">
            <w:pPr>
              <w:widowControl/>
              <w:jc w:val="left"/>
              <w:rPr>
                <w:rFonts w:hint="eastAsia" w:ascii="宋体" w:hAnsi="宋体" w:cs="宋体"/>
                <w:kern w:val="0"/>
                <w:sz w:val="20"/>
                <w:szCs w:val="20"/>
              </w:rPr>
            </w:pPr>
            <w:r>
              <w:rPr>
                <w:rFonts w:hint="eastAsia" w:ascii="宋体" w:hAnsi="宋体" w:cs="宋体"/>
                <w:kern w:val="0"/>
                <w:sz w:val="20"/>
                <w:szCs w:val="20"/>
              </w:rPr>
              <w:t>退化草原生态修复治理质量达标率</w:t>
            </w:r>
          </w:p>
        </w:tc>
        <w:tc>
          <w:tcPr>
            <w:tcW w:w="529" w:type="pct"/>
            <w:tcBorders>
              <w:top w:val="single" w:color="auto" w:sz="4" w:space="0"/>
              <w:left w:val="single" w:color="auto" w:sz="4" w:space="0"/>
              <w:bottom w:val="single" w:color="auto" w:sz="4" w:space="0"/>
              <w:right w:val="single" w:color="auto" w:sz="4" w:space="0"/>
            </w:tcBorders>
            <w:shd w:val="clear" w:color="auto" w:fill="auto"/>
            <w:vAlign w:val="center"/>
          </w:tcPr>
          <w:p w14:paraId="0EF44884">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4C8EBA35">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5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8A5D5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2AD30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ED9A65">
            <w:pPr>
              <w:widowControl/>
              <w:jc w:val="center"/>
              <w:rPr>
                <w:rFonts w:hint="eastAsia" w:ascii="宋体" w:hAnsi="宋体" w:cs="宋体"/>
                <w:kern w:val="0"/>
                <w:sz w:val="20"/>
                <w:szCs w:val="20"/>
              </w:rPr>
            </w:pPr>
          </w:p>
        </w:tc>
      </w:tr>
      <w:tr w14:paraId="68D96F3B">
        <w:tblPrEx>
          <w:tblCellMar>
            <w:top w:w="0" w:type="dxa"/>
            <w:left w:w="108" w:type="dxa"/>
            <w:bottom w:w="0" w:type="dxa"/>
            <w:right w:w="108" w:type="dxa"/>
          </w:tblCellMar>
        </w:tblPrEx>
        <w:trPr>
          <w:trHeight w:val="402" w:hRule="atLeast"/>
        </w:trPr>
        <w:tc>
          <w:tcPr>
            <w:tcW w:w="367" w:type="pct"/>
            <w:vMerge w:val="continue"/>
            <w:tcBorders>
              <w:top w:val="single" w:color="auto" w:sz="4" w:space="0"/>
              <w:left w:val="single" w:color="auto" w:sz="4" w:space="0"/>
              <w:bottom w:val="single" w:color="auto" w:sz="4" w:space="0"/>
              <w:right w:val="single" w:color="auto" w:sz="4" w:space="0"/>
            </w:tcBorders>
            <w:vAlign w:val="center"/>
          </w:tcPr>
          <w:p w14:paraId="43548CF1">
            <w:pPr>
              <w:widowControl/>
              <w:jc w:val="left"/>
              <w:rPr>
                <w:rFonts w:hint="eastAsia" w:ascii="宋体" w:hAnsi="宋体" w:cs="宋体"/>
                <w:kern w:val="0"/>
                <w:sz w:val="20"/>
                <w:szCs w:val="20"/>
              </w:rPr>
            </w:pPr>
          </w:p>
        </w:tc>
        <w:tc>
          <w:tcPr>
            <w:tcW w:w="369" w:type="pct"/>
            <w:vMerge w:val="continue"/>
            <w:tcBorders>
              <w:top w:val="single" w:color="auto" w:sz="4" w:space="0"/>
              <w:left w:val="single" w:color="auto" w:sz="4" w:space="0"/>
              <w:bottom w:val="single" w:color="auto" w:sz="4" w:space="0"/>
              <w:right w:val="single" w:color="auto" w:sz="4" w:space="0"/>
            </w:tcBorders>
            <w:vAlign w:val="center"/>
          </w:tcPr>
          <w:p w14:paraId="1DAFE021">
            <w:pPr>
              <w:widowControl/>
              <w:jc w:val="left"/>
              <w:rPr>
                <w:rFonts w:hint="eastAsia" w:ascii="宋体" w:hAnsi="宋体" w:cs="宋体"/>
                <w:kern w:val="0"/>
                <w:sz w:val="20"/>
                <w:szCs w:val="20"/>
              </w:rPr>
            </w:pPr>
          </w:p>
        </w:tc>
        <w:tc>
          <w:tcPr>
            <w:tcW w:w="613" w:type="pct"/>
            <w:tcBorders>
              <w:top w:val="single" w:color="auto" w:sz="4" w:space="0"/>
              <w:left w:val="single" w:color="auto" w:sz="4" w:space="0"/>
              <w:bottom w:val="single" w:color="auto" w:sz="4" w:space="0"/>
              <w:right w:val="single" w:color="auto" w:sz="4" w:space="0"/>
            </w:tcBorders>
            <w:shd w:val="clear" w:color="auto" w:fill="auto"/>
            <w:vAlign w:val="center"/>
          </w:tcPr>
          <w:p w14:paraId="7F361F03">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81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A50ABCD">
            <w:pPr>
              <w:widowControl/>
              <w:jc w:val="left"/>
              <w:rPr>
                <w:rFonts w:hint="eastAsia" w:ascii="宋体" w:hAnsi="宋体" w:cs="宋体"/>
                <w:kern w:val="0"/>
                <w:sz w:val="20"/>
                <w:szCs w:val="20"/>
              </w:rPr>
            </w:pPr>
            <w:r>
              <w:rPr>
                <w:rFonts w:hint="eastAsia" w:ascii="宋体" w:hAnsi="宋体" w:cs="宋体"/>
                <w:kern w:val="0"/>
                <w:sz w:val="20"/>
                <w:szCs w:val="20"/>
              </w:rPr>
              <w:t>退化草原生态修复任务完成及时率</w:t>
            </w:r>
          </w:p>
        </w:tc>
        <w:tc>
          <w:tcPr>
            <w:tcW w:w="529" w:type="pct"/>
            <w:tcBorders>
              <w:top w:val="single" w:color="auto" w:sz="4" w:space="0"/>
              <w:left w:val="single" w:color="auto" w:sz="4" w:space="0"/>
              <w:bottom w:val="single" w:color="auto" w:sz="4" w:space="0"/>
              <w:right w:val="single" w:color="auto" w:sz="4" w:space="0"/>
            </w:tcBorders>
            <w:shd w:val="clear" w:color="auto" w:fill="auto"/>
            <w:vAlign w:val="center"/>
          </w:tcPr>
          <w:p w14:paraId="63DBBF19">
            <w:pPr>
              <w:widowControl/>
              <w:jc w:val="center"/>
              <w:rPr>
                <w:rFonts w:hint="eastAsia" w:ascii="宋体" w:hAnsi="宋体" w:cs="宋体"/>
                <w:kern w:val="0"/>
                <w:sz w:val="20"/>
                <w:szCs w:val="20"/>
              </w:rPr>
            </w:pPr>
            <w:r>
              <w:rPr>
                <w:rFonts w:hint="eastAsia" w:ascii="宋体" w:hAnsi="宋体" w:cs="宋体"/>
                <w:kern w:val="0"/>
                <w:sz w:val="20"/>
                <w:szCs w:val="20"/>
              </w:rPr>
              <w:t>&gt;=100%</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003F03F1">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86F09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C7D779">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A21B49">
            <w:pPr>
              <w:widowControl/>
              <w:jc w:val="center"/>
              <w:rPr>
                <w:rFonts w:hint="eastAsia" w:ascii="宋体" w:hAnsi="宋体" w:cs="宋体"/>
                <w:kern w:val="0"/>
                <w:sz w:val="20"/>
                <w:szCs w:val="20"/>
              </w:rPr>
            </w:pPr>
          </w:p>
        </w:tc>
      </w:tr>
      <w:tr w14:paraId="37A38F1C">
        <w:tblPrEx>
          <w:tblCellMar>
            <w:top w:w="0" w:type="dxa"/>
            <w:left w:w="108" w:type="dxa"/>
            <w:bottom w:w="0" w:type="dxa"/>
            <w:right w:w="108" w:type="dxa"/>
          </w:tblCellMar>
        </w:tblPrEx>
        <w:trPr>
          <w:trHeight w:val="402" w:hRule="atLeast"/>
        </w:trPr>
        <w:tc>
          <w:tcPr>
            <w:tcW w:w="367" w:type="pct"/>
            <w:vMerge w:val="continue"/>
            <w:tcBorders>
              <w:top w:val="single" w:color="auto" w:sz="4" w:space="0"/>
              <w:left w:val="single" w:color="auto" w:sz="4" w:space="0"/>
              <w:bottom w:val="single" w:color="auto" w:sz="4" w:space="0"/>
              <w:right w:val="single" w:color="auto" w:sz="4" w:space="0"/>
            </w:tcBorders>
            <w:vAlign w:val="center"/>
          </w:tcPr>
          <w:p w14:paraId="788D1CF5">
            <w:pPr>
              <w:widowControl/>
              <w:jc w:val="left"/>
              <w:rPr>
                <w:rFonts w:hint="eastAsia" w:ascii="宋体" w:hAnsi="宋体" w:cs="宋体"/>
                <w:kern w:val="0"/>
                <w:sz w:val="20"/>
                <w:szCs w:val="20"/>
              </w:rPr>
            </w:pPr>
          </w:p>
        </w:tc>
        <w:tc>
          <w:tcPr>
            <w:tcW w:w="36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9CE886">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613" w:type="pct"/>
            <w:tcBorders>
              <w:top w:val="single" w:color="auto" w:sz="4" w:space="0"/>
              <w:left w:val="single" w:color="auto" w:sz="4" w:space="0"/>
              <w:bottom w:val="single" w:color="auto" w:sz="4" w:space="0"/>
              <w:right w:val="single" w:color="auto" w:sz="4" w:space="0"/>
            </w:tcBorders>
            <w:shd w:val="clear" w:color="auto" w:fill="auto"/>
            <w:vAlign w:val="center"/>
          </w:tcPr>
          <w:p w14:paraId="169150E5">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81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FD93077">
            <w:pPr>
              <w:widowControl/>
              <w:jc w:val="left"/>
              <w:rPr>
                <w:rFonts w:hint="eastAsia" w:ascii="宋体" w:hAnsi="宋体" w:cs="宋体"/>
                <w:kern w:val="0"/>
                <w:sz w:val="20"/>
                <w:szCs w:val="20"/>
              </w:rPr>
            </w:pPr>
            <w:r>
              <w:rPr>
                <w:rFonts w:hint="eastAsia" w:ascii="宋体" w:hAnsi="宋体" w:cs="宋体"/>
                <w:kern w:val="0"/>
                <w:sz w:val="20"/>
                <w:szCs w:val="20"/>
              </w:rPr>
              <w:t>退化草原生态修复治理</w:t>
            </w:r>
          </w:p>
        </w:tc>
        <w:tc>
          <w:tcPr>
            <w:tcW w:w="529" w:type="pct"/>
            <w:tcBorders>
              <w:top w:val="single" w:color="auto" w:sz="4" w:space="0"/>
              <w:left w:val="single" w:color="auto" w:sz="4" w:space="0"/>
              <w:bottom w:val="single" w:color="auto" w:sz="4" w:space="0"/>
              <w:right w:val="single" w:color="auto" w:sz="4" w:space="0"/>
            </w:tcBorders>
            <w:shd w:val="clear" w:color="auto" w:fill="auto"/>
            <w:vAlign w:val="center"/>
          </w:tcPr>
          <w:p w14:paraId="2A2525D1">
            <w:pPr>
              <w:widowControl/>
              <w:jc w:val="center"/>
              <w:rPr>
                <w:rFonts w:hint="eastAsia" w:ascii="宋体" w:hAnsi="宋体" w:cs="宋体"/>
                <w:kern w:val="0"/>
                <w:sz w:val="20"/>
                <w:szCs w:val="20"/>
              </w:rPr>
            </w:pPr>
            <w:r>
              <w:rPr>
                <w:rFonts w:hint="eastAsia" w:ascii="宋体" w:hAnsi="宋体" w:cs="宋体"/>
                <w:kern w:val="0"/>
                <w:sz w:val="20"/>
                <w:szCs w:val="20"/>
              </w:rPr>
              <w:t>=25元/亩</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6E287B92">
            <w:pPr>
              <w:widowControl/>
              <w:jc w:val="center"/>
              <w:rPr>
                <w:rFonts w:hint="eastAsia" w:ascii="宋体" w:hAnsi="宋体" w:cs="宋体"/>
                <w:kern w:val="0"/>
                <w:sz w:val="20"/>
                <w:szCs w:val="20"/>
              </w:rPr>
            </w:pPr>
            <w:r>
              <w:rPr>
                <w:rFonts w:hint="eastAsia" w:ascii="宋体" w:hAnsi="宋体" w:cs="宋体"/>
                <w:kern w:val="0"/>
                <w:sz w:val="20"/>
                <w:szCs w:val="20"/>
              </w:rPr>
              <w:t>=25元/亩</w:t>
            </w:r>
          </w:p>
        </w:tc>
        <w:tc>
          <w:tcPr>
            <w:tcW w:w="5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19762B">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D7194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F18179">
            <w:pPr>
              <w:widowControl/>
              <w:jc w:val="center"/>
              <w:rPr>
                <w:rFonts w:hint="eastAsia" w:ascii="宋体" w:hAnsi="宋体" w:cs="宋体"/>
                <w:kern w:val="0"/>
                <w:sz w:val="20"/>
                <w:szCs w:val="20"/>
              </w:rPr>
            </w:pPr>
          </w:p>
        </w:tc>
      </w:tr>
      <w:tr w14:paraId="0F111694">
        <w:tblPrEx>
          <w:tblCellMar>
            <w:top w:w="0" w:type="dxa"/>
            <w:left w:w="108" w:type="dxa"/>
            <w:bottom w:w="0" w:type="dxa"/>
            <w:right w:w="108" w:type="dxa"/>
          </w:tblCellMar>
        </w:tblPrEx>
        <w:trPr>
          <w:trHeight w:val="402" w:hRule="atLeast"/>
        </w:trPr>
        <w:tc>
          <w:tcPr>
            <w:tcW w:w="367" w:type="pct"/>
            <w:vMerge w:val="continue"/>
            <w:tcBorders>
              <w:top w:val="single" w:color="auto" w:sz="4" w:space="0"/>
              <w:left w:val="single" w:color="auto" w:sz="4" w:space="0"/>
              <w:bottom w:val="single" w:color="auto" w:sz="4" w:space="0"/>
              <w:right w:val="single" w:color="auto" w:sz="4" w:space="0"/>
            </w:tcBorders>
            <w:vAlign w:val="center"/>
          </w:tcPr>
          <w:p w14:paraId="18B5EA55">
            <w:pPr>
              <w:widowControl/>
              <w:jc w:val="left"/>
              <w:rPr>
                <w:rFonts w:hint="eastAsia" w:ascii="宋体" w:hAnsi="宋体" w:cs="宋体"/>
                <w:kern w:val="0"/>
                <w:sz w:val="20"/>
                <w:szCs w:val="20"/>
              </w:rPr>
            </w:pPr>
          </w:p>
        </w:tc>
        <w:tc>
          <w:tcPr>
            <w:tcW w:w="369" w:type="pct"/>
            <w:vMerge w:val="continue"/>
            <w:tcBorders>
              <w:top w:val="single" w:color="auto" w:sz="4" w:space="0"/>
              <w:left w:val="single" w:color="auto" w:sz="4" w:space="0"/>
              <w:bottom w:val="single" w:color="auto" w:sz="4" w:space="0"/>
              <w:right w:val="single" w:color="auto" w:sz="4" w:space="0"/>
            </w:tcBorders>
            <w:vAlign w:val="center"/>
          </w:tcPr>
          <w:p w14:paraId="15EB8B75">
            <w:pPr>
              <w:widowControl/>
              <w:jc w:val="left"/>
              <w:rPr>
                <w:rFonts w:hint="eastAsia" w:ascii="宋体" w:hAnsi="宋体" w:cs="宋体"/>
                <w:kern w:val="0"/>
                <w:sz w:val="20"/>
                <w:szCs w:val="20"/>
              </w:rPr>
            </w:pPr>
          </w:p>
        </w:tc>
        <w:tc>
          <w:tcPr>
            <w:tcW w:w="613" w:type="pct"/>
            <w:tcBorders>
              <w:top w:val="single" w:color="auto" w:sz="4" w:space="0"/>
              <w:left w:val="single" w:color="auto" w:sz="4" w:space="0"/>
              <w:bottom w:val="single" w:color="auto" w:sz="4" w:space="0"/>
              <w:right w:val="single" w:color="auto" w:sz="4" w:space="0"/>
            </w:tcBorders>
            <w:shd w:val="clear" w:color="auto" w:fill="auto"/>
            <w:vAlign w:val="center"/>
          </w:tcPr>
          <w:p w14:paraId="0851D369">
            <w:pPr>
              <w:widowControl/>
              <w:jc w:val="center"/>
              <w:rPr>
                <w:rFonts w:hint="eastAsia" w:ascii="宋体" w:hAnsi="宋体" w:cs="宋体"/>
                <w:kern w:val="0"/>
                <w:sz w:val="20"/>
                <w:szCs w:val="20"/>
              </w:rPr>
            </w:pPr>
            <w:r>
              <w:rPr>
                <w:rFonts w:hint="eastAsia" w:ascii="宋体" w:hAnsi="宋体" w:cs="宋体"/>
                <w:kern w:val="0"/>
                <w:sz w:val="20"/>
                <w:szCs w:val="20"/>
              </w:rPr>
              <w:t>社会成本指标</w:t>
            </w:r>
          </w:p>
        </w:tc>
        <w:tc>
          <w:tcPr>
            <w:tcW w:w="81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62816B2">
            <w:pPr>
              <w:widowControl/>
              <w:jc w:val="left"/>
              <w:rPr>
                <w:rFonts w:hint="eastAsia" w:ascii="宋体" w:hAnsi="宋体" w:cs="宋体"/>
                <w:kern w:val="0"/>
                <w:sz w:val="20"/>
                <w:szCs w:val="20"/>
              </w:rPr>
            </w:pPr>
            <w:r>
              <w:rPr>
                <w:rFonts w:hint="eastAsia" w:ascii="宋体" w:hAnsi="宋体" w:cs="宋体"/>
                <w:kern w:val="0"/>
                <w:sz w:val="20"/>
                <w:szCs w:val="20"/>
              </w:rPr>
              <w:t>辖区牧民投诉率</w:t>
            </w:r>
          </w:p>
        </w:tc>
        <w:tc>
          <w:tcPr>
            <w:tcW w:w="529" w:type="pct"/>
            <w:tcBorders>
              <w:top w:val="single" w:color="auto" w:sz="4" w:space="0"/>
              <w:left w:val="single" w:color="auto" w:sz="4" w:space="0"/>
              <w:bottom w:val="single" w:color="auto" w:sz="4" w:space="0"/>
              <w:right w:val="single" w:color="auto" w:sz="4" w:space="0"/>
            </w:tcBorders>
            <w:shd w:val="clear" w:color="auto" w:fill="auto"/>
            <w:vAlign w:val="center"/>
          </w:tcPr>
          <w:p w14:paraId="0AFB834F">
            <w:pPr>
              <w:widowControl/>
              <w:jc w:val="center"/>
              <w:rPr>
                <w:rFonts w:hint="eastAsia" w:ascii="宋体" w:hAnsi="宋体" w:cs="宋体"/>
                <w:kern w:val="0"/>
                <w:sz w:val="20"/>
                <w:szCs w:val="20"/>
              </w:rPr>
            </w:pPr>
            <w:r>
              <w:rPr>
                <w:rFonts w:hint="eastAsia" w:ascii="宋体" w:hAnsi="宋体" w:cs="宋体"/>
                <w:kern w:val="0"/>
                <w:sz w:val="20"/>
                <w:szCs w:val="20"/>
              </w:rPr>
              <w:t>=0%</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6DE91C9A">
            <w:pPr>
              <w:widowControl/>
              <w:jc w:val="center"/>
              <w:rPr>
                <w:rFonts w:hint="eastAsia" w:ascii="宋体" w:hAnsi="宋体" w:cs="宋体"/>
                <w:kern w:val="0"/>
                <w:sz w:val="20"/>
                <w:szCs w:val="20"/>
              </w:rPr>
            </w:pPr>
            <w:r>
              <w:rPr>
                <w:rFonts w:hint="eastAsia" w:ascii="宋体" w:hAnsi="宋体" w:cs="宋体"/>
                <w:kern w:val="0"/>
                <w:sz w:val="20"/>
                <w:szCs w:val="20"/>
              </w:rPr>
              <w:t>=0%</w:t>
            </w:r>
          </w:p>
        </w:tc>
        <w:tc>
          <w:tcPr>
            <w:tcW w:w="5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FB34E9">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2996F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90CCFB">
            <w:pPr>
              <w:widowControl/>
              <w:jc w:val="center"/>
              <w:rPr>
                <w:rFonts w:hint="eastAsia" w:ascii="宋体" w:hAnsi="宋体" w:cs="宋体"/>
                <w:kern w:val="0"/>
                <w:sz w:val="20"/>
                <w:szCs w:val="20"/>
              </w:rPr>
            </w:pPr>
          </w:p>
        </w:tc>
      </w:tr>
      <w:tr w14:paraId="14B96945">
        <w:tblPrEx>
          <w:tblCellMar>
            <w:top w:w="0" w:type="dxa"/>
            <w:left w:w="108" w:type="dxa"/>
            <w:bottom w:w="0" w:type="dxa"/>
            <w:right w:w="108" w:type="dxa"/>
          </w:tblCellMar>
        </w:tblPrEx>
        <w:trPr>
          <w:trHeight w:val="402" w:hRule="atLeast"/>
        </w:trPr>
        <w:tc>
          <w:tcPr>
            <w:tcW w:w="367" w:type="pct"/>
            <w:vMerge w:val="continue"/>
            <w:tcBorders>
              <w:top w:val="single" w:color="auto" w:sz="4" w:space="0"/>
              <w:left w:val="single" w:color="auto" w:sz="4" w:space="0"/>
              <w:bottom w:val="single" w:color="auto" w:sz="4" w:space="0"/>
              <w:right w:val="single" w:color="auto" w:sz="4" w:space="0"/>
            </w:tcBorders>
            <w:vAlign w:val="center"/>
          </w:tcPr>
          <w:p w14:paraId="1D9BE3BD">
            <w:pPr>
              <w:widowControl/>
              <w:jc w:val="left"/>
              <w:rPr>
                <w:rFonts w:hint="eastAsia" w:ascii="宋体" w:hAnsi="宋体" w:cs="宋体"/>
                <w:kern w:val="0"/>
                <w:sz w:val="20"/>
                <w:szCs w:val="20"/>
              </w:rPr>
            </w:pPr>
          </w:p>
        </w:tc>
        <w:tc>
          <w:tcPr>
            <w:tcW w:w="369" w:type="pct"/>
            <w:vMerge w:val="continue"/>
            <w:tcBorders>
              <w:top w:val="single" w:color="auto" w:sz="4" w:space="0"/>
              <w:left w:val="single" w:color="auto" w:sz="4" w:space="0"/>
              <w:bottom w:val="single" w:color="auto" w:sz="4" w:space="0"/>
              <w:right w:val="single" w:color="auto" w:sz="4" w:space="0"/>
            </w:tcBorders>
            <w:vAlign w:val="center"/>
          </w:tcPr>
          <w:p w14:paraId="007C9771">
            <w:pPr>
              <w:widowControl/>
              <w:jc w:val="left"/>
              <w:rPr>
                <w:rFonts w:hint="eastAsia" w:ascii="宋体" w:hAnsi="宋体" w:cs="宋体"/>
                <w:kern w:val="0"/>
                <w:sz w:val="20"/>
                <w:szCs w:val="20"/>
              </w:rPr>
            </w:pPr>
          </w:p>
        </w:tc>
        <w:tc>
          <w:tcPr>
            <w:tcW w:w="613" w:type="pct"/>
            <w:tcBorders>
              <w:top w:val="single" w:color="auto" w:sz="4" w:space="0"/>
              <w:left w:val="single" w:color="auto" w:sz="4" w:space="0"/>
              <w:bottom w:val="single" w:color="auto" w:sz="4" w:space="0"/>
              <w:right w:val="single" w:color="auto" w:sz="4" w:space="0"/>
            </w:tcBorders>
            <w:shd w:val="clear" w:color="auto" w:fill="auto"/>
            <w:vAlign w:val="center"/>
          </w:tcPr>
          <w:p w14:paraId="46CA6BFE">
            <w:pPr>
              <w:widowControl/>
              <w:jc w:val="center"/>
              <w:rPr>
                <w:rFonts w:hint="eastAsia" w:ascii="宋体" w:hAnsi="宋体" w:cs="宋体"/>
                <w:kern w:val="0"/>
                <w:sz w:val="20"/>
                <w:szCs w:val="20"/>
              </w:rPr>
            </w:pPr>
            <w:r>
              <w:rPr>
                <w:rFonts w:hint="eastAsia" w:ascii="宋体" w:hAnsi="宋体" w:cs="宋体"/>
                <w:kern w:val="0"/>
                <w:sz w:val="20"/>
                <w:szCs w:val="20"/>
              </w:rPr>
              <w:t>生态环境成本指标</w:t>
            </w:r>
          </w:p>
        </w:tc>
        <w:tc>
          <w:tcPr>
            <w:tcW w:w="81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E9DD3FA">
            <w:pPr>
              <w:widowControl/>
              <w:jc w:val="left"/>
              <w:rPr>
                <w:rFonts w:hint="eastAsia" w:ascii="宋体" w:hAnsi="宋体" w:cs="宋体"/>
                <w:kern w:val="0"/>
                <w:sz w:val="20"/>
                <w:szCs w:val="20"/>
              </w:rPr>
            </w:pPr>
          </w:p>
        </w:tc>
        <w:tc>
          <w:tcPr>
            <w:tcW w:w="529" w:type="pct"/>
            <w:tcBorders>
              <w:top w:val="single" w:color="auto" w:sz="4" w:space="0"/>
              <w:left w:val="single" w:color="auto" w:sz="4" w:space="0"/>
              <w:bottom w:val="single" w:color="auto" w:sz="4" w:space="0"/>
              <w:right w:val="single" w:color="auto" w:sz="4" w:space="0"/>
            </w:tcBorders>
            <w:shd w:val="clear" w:color="auto" w:fill="auto"/>
            <w:vAlign w:val="center"/>
          </w:tcPr>
          <w:p w14:paraId="67DA07EB">
            <w:pPr>
              <w:widowControl/>
              <w:jc w:val="center"/>
              <w:rPr>
                <w:rFonts w:hint="eastAsia" w:ascii="宋体" w:hAnsi="宋体" w:cs="宋体"/>
                <w:kern w:val="0"/>
                <w:sz w:val="20"/>
                <w:szCs w:val="20"/>
              </w:rPr>
            </w:pP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326EA401">
            <w:pPr>
              <w:widowControl/>
              <w:jc w:val="center"/>
              <w:rPr>
                <w:rFonts w:hint="eastAsia" w:ascii="宋体" w:hAnsi="宋体" w:cs="宋体"/>
                <w:kern w:val="0"/>
                <w:sz w:val="20"/>
                <w:szCs w:val="20"/>
              </w:rPr>
            </w:pPr>
          </w:p>
        </w:tc>
        <w:tc>
          <w:tcPr>
            <w:tcW w:w="5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9687D7">
            <w:pPr>
              <w:widowControl/>
              <w:jc w:val="center"/>
              <w:rPr>
                <w:rFonts w:hint="eastAsia" w:ascii="宋体" w:hAnsi="宋体" w:cs="宋体"/>
                <w:kern w:val="0"/>
                <w:sz w:val="20"/>
                <w:szCs w:val="20"/>
              </w:rPr>
            </w:pP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E615E6">
            <w:pPr>
              <w:widowControl/>
              <w:jc w:val="center"/>
              <w:rPr>
                <w:rFonts w:hint="eastAsia" w:ascii="宋体" w:hAnsi="宋体" w:cs="宋体"/>
                <w:kern w:val="0"/>
                <w:sz w:val="20"/>
                <w:szCs w:val="20"/>
              </w:rPr>
            </w:pP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E30DBE">
            <w:pPr>
              <w:widowControl/>
              <w:jc w:val="center"/>
              <w:rPr>
                <w:rFonts w:hint="eastAsia" w:ascii="宋体" w:hAnsi="宋体" w:cs="宋体"/>
                <w:kern w:val="0"/>
                <w:sz w:val="20"/>
                <w:szCs w:val="20"/>
              </w:rPr>
            </w:pPr>
          </w:p>
        </w:tc>
      </w:tr>
      <w:tr w14:paraId="71EE9593">
        <w:tblPrEx>
          <w:tblCellMar>
            <w:top w:w="0" w:type="dxa"/>
            <w:left w:w="108" w:type="dxa"/>
            <w:bottom w:w="0" w:type="dxa"/>
            <w:right w:w="108" w:type="dxa"/>
          </w:tblCellMar>
        </w:tblPrEx>
        <w:trPr>
          <w:trHeight w:val="402" w:hRule="atLeast"/>
        </w:trPr>
        <w:tc>
          <w:tcPr>
            <w:tcW w:w="367" w:type="pct"/>
            <w:vMerge w:val="continue"/>
            <w:tcBorders>
              <w:top w:val="single" w:color="auto" w:sz="4" w:space="0"/>
              <w:left w:val="single" w:color="auto" w:sz="4" w:space="0"/>
              <w:bottom w:val="single" w:color="auto" w:sz="4" w:space="0"/>
              <w:right w:val="single" w:color="auto" w:sz="4" w:space="0"/>
            </w:tcBorders>
            <w:vAlign w:val="center"/>
          </w:tcPr>
          <w:p w14:paraId="28083996">
            <w:pPr>
              <w:widowControl/>
              <w:jc w:val="left"/>
              <w:rPr>
                <w:rFonts w:hint="eastAsia" w:ascii="宋体" w:hAnsi="宋体" w:cs="宋体"/>
                <w:kern w:val="0"/>
                <w:sz w:val="20"/>
                <w:szCs w:val="20"/>
              </w:rPr>
            </w:pPr>
          </w:p>
        </w:tc>
        <w:tc>
          <w:tcPr>
            <w:tcW w:w="36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95E7D6">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613" w:type="pct"/>
            <w:tcBorders>
              <w:top w:val="single" w:color="auto" w:sz="4" w:space="0"/>
              <w:left w:val="single" w:color="auto" w:sz="4" w:space="0"/>
              <w:bottom w:val="single" w:color="auto" w:sz="4" w:space="0"/>
              <w:right w:val="single" w:color="auto" w:sz="4" w:space="0"/>
            </w:tcBorders>
            <w:shd w:val="clear" w:color="auto" w:fill="auto"/>
            <w:vAlign w:val="center"/>
          </w:tcPr>
          <w:p w14:paraId="37EBED5C">
            <w:pPr>
              <w:widowControl/>
              <w:jc w:val="center"/>
              <w:rPr>
                <w:rFonts w:hint="eastAsia" w:ascii="宋体" w:hAnsi="宋体" w:cs="宋体"/>
                <w:kern w:val="0"/>
                <w:sz w:val="20"/>
                <w:szCs w:val="20"/>
              </w:rPr>
            </w:pPr>
            <w:r>
              <w:rPr>
                <w:rFonts w:hint="eastAsia" w:ascii="宋体" w:hAnsi="宋体" w:cs="宋体"/>
                <w:kern w:val="0"/>
                <w:sz w:val="20"/>
                <w:szCs w:val="20"/>
              </w:rPr>
              <w:t>经济效益指标</w:t>
            </w:r>
          </w:p>
        </w:tc>
        <w:tc>
          <w:tcPr>
            <w:tcW w:w="81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0FDBC7C">
            <w:pPr>
              <w:widowControl/>
              <w:jc w:val="left"/>
              <w:rPr>
                <w:rFonts w:hint="eastAsia" w:ascii="宋体" w:hAnsi="宋体" w:cs="宋体"/>
                <w:kern w:val="0"/>
                <w:sz w:val="20"/>
                <w:szCs w:val="20"/>
              </w:rPr>
            </w:pPr>
            <w:r>
              <w:rPr>
                <w:rFonts w:hint="eastAsia" w:ascii="宋体" w:hAnsi="宋体" w:cs="宋体"/>
                <w:kern w:val="0"/>
                <w:sz w:val="20"/>
                <w:szCs w:val="20"/>
              </w:rPr>
              <w:t>改善退化草原完成率</w:t>
            </w:r>
          </w:p>
        </w:tc>
        <w:tc>
          <w:tcPr>
            <w:tcW w:w="529" w:type="pct"/>
            <w:tcBorders>
              <w:top w:val="single" w:color="auto" w:sz="4" w:space="0"/>
              <w:left w:val="single" w:color="auto" w:sz="4" w:space="0"/>
              <w:bottom w:val="single" w:color="auto" w:sz="4" w:space="0"/>
              <w:right w:val="single" w:color="auto" w:sz="4" w:space="0"/>
            </w:tcBorders>
            <w:shd w:val="clear" w:color="auto" w:fill="auto"/>
            <w:vAlign w:val="center"/>
          </w:tcPr>
          <w:p w14:paraId="5134C79F">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70DB1239">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5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57116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42E66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8D8BF5">
            <w:pPr>
              <w:widowControl/>
              <w:jc w:val="center"/>
              <w:rPr>
                <w:rFonts w:hint="eastAsia" w:ascii="宋体" w:hAnsi="宋体" w:cs="宋体"/>
                <w:kern w:val="0"/>
                <w:sz w:val="20"/>
                <w:szCs w:val="20"/>
              </w:rPr>
            </w:pPr>
          </w:p>
        </w:tc>
      </w:tr>
      <w:tr w14:paraId="766E5D5C">
        <w:tblPrEx>
          <w:tblCellMar>
            <w:top w:w="0" w:type="dxa"/>
            <w:left w:w="108" w:type="dxa"/>
            <w:bottom w:w="0" w:type="dxa"/>
            <w:right w:w="108" w:type="dxa"/>
          </w:tblCellMar>
        </w:tblPrEx>
        <w:trPr>
          <w:trHeight w:val="402" w:hRule="atLeast"/>
        </w:trPr>
        <w:tc>
          <w:tcPr>
            <w:tcW w:w="367" w:type="pct"/>
            <w:vMerge w:val="continue"/>
            <w:tcBorders>
              <w:top w:val="single" w:color="auto" w:sz="4" w:space="0"/>
              <w:left w:val="single" w:color="auto" w:sz="4" w:space="0"/>
              <w:bottom w:val="single" w:color="auto" w:sz="4" w:space="0"/>
              <w:right w:val="single" w:color="auto" w:sz="4" w:space="0"/>
            </w:tcBorders>
            <w:vAlign w:val="center"/>
          </w:tcPr>
          <w:p w14:paraId="68ED241B">
            <w:pPr>
              <w:widowControl/>
              <w:jc w:val="left"/>
              <w:rPr>
                <w:rFonts w:hint="eastAsia" w:ascii="宋体" w:hAnsi="宋体" w:cs="宋体"/>
                <w:kern w:val="0"/>
                <w:sz w:val="20"/>
                <w:szCs w:val="20"/>
              </w:rPr>
            </w:pPr>
          </w:p>
        </w:tc>
        <w:tc>
          <w:tcPr>
            <w:tcW w:w="369" w:type="pct"/>
            <w:vMerge w:val="continue"/>
            <w:tcBorders>
              <w:top w:val="single" w:color="auto" w:sz="4" w:space="0"/>
              <w:left w:val="single" w:color="auto" w:sz="4" w:space="0"/>
              <w:bottom w:val="single" w:color="auto" w:sz="4" w:space="0"/>
              <w:right w:val="single" w:color="auto" w:sz="4" w:space="0"/>
            </w:tcBorders>
            <w:vAlign w:val="center"/>
          </w:tcPr>
          <w:p w14:paraId="6C8F1BD0">
            <w:pPr>
              <w:widowControl/>
              <w:jc w:val="left"/>
              <w:rPr>
                <w:rFonts w:hint="eastAsia" w:ascii="宋体" w:hAnsi="宋体" w:cs="宋体"/>
                <w:kern w:val="0"/>
                <w:sz w:val="20"/>
                <w:szCs w:val="20"/>
              </w:rPr>
            </w:pPr>
          </w:p>
        </w:tc>
        <w:tc>
          <w:tcPr>
            <w:tcW w:w="613" w:type="pct"/>
            <w:tcBorders>
              <w:top w:val="single" w:color="auto" w:sz="4" w:space="0"/>
              <w:left w:val="single" w:color="auto" w:sz="4" w:space="0"/>
              <w:bottom w:val="single" w:color="auto" w:sz="4" w:space="0"/>
              <w:right w:val="single" w:color="auto" w:sz="4" w:space="0"/>
            </w:tcBorders>
            <w:shd w:val="clear" w:color="auto" w:fill="auto"/>
            <w:vAlign w:val="center"/>
          </w:tcPr>
          <w:p w14:paraId="492AEC01">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81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EACBC81">
            <w:pPr>
              <w:widowControl/>
              <w:jc w:val="left"/>
              <w:rPr>
                <w:rFonts w:hint="eastAsia" w:ascii="宋体" w:hAnsi="宋体" w:cs="宋体"/>
                <w:kern w:val="0"/>
                <w:sz w:val="20"/>
                <w:szCs w:val="20"/>
              </w:rPr>
            </w:pPr>
            <w:r>
              <w:rPr>
                <w:rFonts w:hint="eastAsia" w:ascii="宋体" w:hAnsi="宋体" w:cs="宋体"/>
                <w:kern w:val="0"/>
                <w:sz w:val="20"/>
                <w:szCs w:val="20"/>
              </w:rPr>
              <w:t>带动就业人数</w:t>
            </w:r>
          </w:p>
        </w:tc>
        <w:tc>
          <w:tcPr>
            <w:tcW w:w="529" w:type="pct"/>
            <w:tcBorders>
              <w:top w:val="single" w:color="auto" w:sz="4" w:space="0"/>
              <w:left w:val="single" w:color="auto" w:sz="4" w:space="0"/>
              <w:bottom w:val="single" w:color="auto" w:sz="4" w:space="0"/>
              <w:right w:val="single" w:color="auto" w:sz="4" w:space="0"/>
            </w:tcBorders>
            <w:shd w:val="clear" w:color="auto" w:fill="auto"/>
            <w:vAlign w:val="center"/>
          </w:tcPr>
          <w:p w14:paraId="13C8680C">
            <w:pPr>
              <w:widowControl/>
              <w:jc w:val="center"/>
              <w:rPr>
                <w:rFonts w:hint="eastAsia" w:ascii="宋体" w:hAnsi="宋体" w:cs="宋体"/>
                <w:kern w:val="0"/>
                <w:sz w:val="20"/>
                <w:szCs w:val="20"/>
              </w:rPr>
            </w:pPr>
            <w:r>
              <w:rPr>
                <w:rFonts w:hint="eastAsia" w:ascii="宋体" w:hAnsi="宋体" w:cs="宋体"/>
                <w:kern w:val="0"/>
                <w:sz w:val="20"/>
                <w:szCs w:val="20"/>
              </w:rPr>
              <w:t>&gt;=120人</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0A4C5D45">
            <w:pPr>
              <w:widowControl/>
              <w:jc w:val="center"/>
              <w:rPr>
                <w:rFonts w:hint="eastAsia" w:ascii="宋体" w:hAnsi="宋体" w:cs="宋体"/>
                <w:kern w:val="0"/>
                <w:sz w:val="20"/>
                <w:szCs w:val="20"/>
              </w:rPr>
            </w:pPr>
            <w:r>
              <w:rPr>
                <w:rFonts w:hint="eastAsia" w:ascii="宋体" w:hAnsi="宋体" w:cs="宋体"/>
                <w:kern w:val="0"/>
                <w:sz w:val="20"/>
                <w:szCs w:val="20"/>
              </w:rPr>
              <w:t>=120人</w:t>
            </w:r>
          </w:p>
        </w:tc>
        <w:tc>
          <w:tcPr>
            <w:tcW w:w="5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A2C96E">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163EA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6D6CC6">
            <w:pPr>
              <w:widowControl/>
              <w:jc w:val="center"/>
              <w:rPr>
                <w:rFonts w:hint="eastAsia" w:ascii="宋体" w:hAnsi="宋体" w:cs="宋体"/>
                <w:kern w:val="0"/>
                <w:sz w:val="20"/>
                <w:szCs w:val="20"/>
              </w:rPr>
            </w:pPr>
          </w:p>
        </w:tc>
      </w:tr>
      <w:tr w14:paraId="6A387567">
        <w:tblPrEx>
          <w:tblCellMar>
            <w:top w:w="0" w:type="dxa"/>
            <w:left w:w="108" w:type="dxa"/>
            <w:bottom w:w="0" w:type="dxa"/>
            <w:right w:w="108" w:type="dxa"/>
          </w:tblCellMar>
        </w:tblPrEx>
        <w:trPr>
          <w:trHeight w:val="402" w:hRule="atLeast"/>
        </w:trPr>
        <w:tc>
          <w:tcPr>
            <w:tcW w:w="367" w:type="pct"/>
            <w:vMerge w:val="continue"/>
            <w:tcBorders>
              <w:top w:val="single" w:color="auto" w:sz="4" w:space="0"/>
              <w:left w:val="single" w:color="auto" w:sz="4" w:space="0"/>
              <w:bottom w:val="single" w:color="auto" w:sz="4" w:space="0"/>
              <w:right w:val="single" w:color="auto" w:sz="4" w:space="0"/>
            </w:tcBorders>
            <w:vAlign w:val="center"/>
          </w:tcPr>
          <w:p w14:paraId="03009853">
            <w:pPr>
              <w:widowControl/>
              <w:jc w:val="left"/>
              <w:rPr>
                <w:rFonts w:hint="eastAsia" w:ascii="宋体" w:hAnsi="宋体" w:cs="宋体"/>
                <w:kern w:val="0"/>
                <w:sz w:val="20"/>
                <w:szCs w:val="20"/>
              </w:rPr>
            </w:pPr>
          </w:p>
        </w:tc>
        <w:tc>
          <w:tcPr>
            <w:tcW w:w="369" w:type="pct"/>
            <w:vMerge w:val="continue"/>
            <w:tcBorders>
              <w:top w:val="single" w:color="auto" w:sz="4" w:space="0"/>
              <w:left w:val="single" w:color="auto" w:sz="4" w:space="0"/>
              <w:bottom w:val="single" w:color="auto" w:sz="4" w:space="0"/>
              <w:right w:val="single" w:color="auto" w:sz="4" w:space="0"/>
            </w:tcBorders>
            <w:vAlign w:val="center"/>
          </w:tcPr>
          <w:p w14:paraId="48E04C0B">
            <w:pPr>
              <w:widowControl/>
              <w:jc w:val="left"/>
              <w:rPr>
                <w:rFonts w:hint="eastAsia" w:ascii="宋体" w:hAnsi="宋体" w:cs="宋体"/>
                <w:kern w:val="0"/>
                <w:sz w:val="20"/>
                <w:szCs w:val="20"/>
              </w:rPr>
            </w:pPr>
          </w:p>
        </w:tc>
        <w:tc>
          <w:tcPr>
            <w:tcW w:w="613" w:type="pct"/>
            <w:tcBorders>
              <w:top w:val="single" w:color="auto" w:sz="4" w:space="0"/>
              <w:left w:val="single" w:color="auto" w:sz="4" w:space="0"/>
              <w:bottom w:val="single" w:color="auto" w:sz="4" w:space="0"/>
              <w:right w:val="single" w:color="auto" w:sz="4" w:space="0"/>
            </w:tcBorders>
            <w:shd w:val="clear" w:color="auto" w:fill="auto"/>
            <w:vAlign w:val="center"/>
          </w:tcPr>
          <w:p w14:paraId="5FD21C10">
            <w:pPr>
              <w:widowControl/>
              <w:jc w:val="center"/>
              <w:rPr>
                <w:rFonts w:hint="eastAsia" w:ascii="宋体" w:hAnsi="宋体" w:cs="宋体"/>
                <w:kern w:val="0"/>
                <w:sz w:val="20"/>
                <w:szCs w:val="20"/>
              </w:rPr>
            </w:pPr>
            <w:r>
              <w:rPr>
                <w:rFonts w:hint="eastAsia" w:ascii="宋体" w:hAnsi="宋体" w:cs="宋体"/>
                <w:kern w:val="0"/>
                <w:sz w:val="20"/>
                <w:szCs w:val="20"/>
              </w:rPr>
              <w:t>生态效益指标</w:t>
            </w:r>
          </w:p>
        </w:tc>
        <w:tc>
          <w:tcPr>
            <w:tcW w:w="81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A8B6908">
            <w:pPr>
              <w:widowControl/>
              <w:jc w:val="left"/>
              <w:rPr>
                <w:rFonts w:hint="eastAsia" w:ascii="宋体" w:hAnsi="宋体" w:cs="宋体"/>
                <w:kern w:val="0"/>
                <w:sz w:val="20"/>
                <w:szCs w:val="20"/>
              </w:rPr>
            </w:pPr>
          </w:p>
        </w:tc>
        <w:tc>
          <w:tcPr>
            <w:tcW w:w="529" w:type="pct"/>
            <w:tcBorders>
              <w:top w:val="single" w:color="auto" w:sz="4" w:space="0"/>
              <w:left w:val="single" w:color="auto" w:sz="4" w:space="0"/>
              <w:bottom w:val="single" w:color="auto" w:sz="4" w:space="0"/>
              <w:right w:val="single" w:color="auto" w:sz="4" w:space="0"/>
            </w:tcBorders>
            <w:shd w:val="clear" w:color="auto" w:fill="auto"/>
            <w:vAlign w:val="center"/>
          </w:tcPr>
          <w:p w14:paraId="71491BDD">
            <w:pPr>
              <w:widowControl/>
              <w:jc w:val="center"/>
              <w:rPr>
                <w:rFonts w:hint="eastAsia" w:ascii="宋体" w:hAnsi="宋体" w:cs="宋体"/>
                <w:kern w:val="0"/>
                <w:sz w:val="20"/>
                <w:szCs w:val="20"/>
              </w:rPr>
            </w:pP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1CBEE3D3">
            <w:pPr>
              <w:widowControl/>
              <w:jc w:val="center"/>
              <w:rPr>
                <w:rFonts w:hint="eastAsia" w:ascii="宋体" w:hAnsi="宋体" w:cs="宋体"/>
                <w:kern w:val="0"/>
                <w:sz w:val="20"/>
                <w:szCs w:val="20"/>
              </w:rPr>
            </w:pPr>
          </w:p>
        </w:tc>
        <w:tc>
          <w:tcPr>
            <w:tcW w:w="5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36D6EA">
            <w:pPr>
              <w:widowControl/>
              <w:jc w:val="center"/>
              <w:rPr>
                <w:rFonts w:hint="eastAsia" w:ascii="宋体" w:hAnsi="宋体" w:cs="宋体"/>
                <w:kern w:val="0"/>
                <w:sz w:val="20"/>
                <w:szCs w:val="20"/>
              </w:rPr>
            </w:pP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DFB0DD">
            <w:pPr>
              <w:widowControl/>
              <w:jc w:val="center"/>
              <w:rPr>
                <w:rFonts w:hint="eastAsia" w:ascii="宋体" w:hAnsi="宋体" w:cs="宋体"/>
                <w:kern w:val="0"/>
                <w:sz w:val="20"/>
                <w:szCs w:val="20"/>
              </w:rPr>
            </w:pP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90F0AA">
            <w:pPr>
              <w:widowControl/>
              <w:jc w:val="center"/>
              <w:rPr>
                <w:rFonts w:hint="eastAsia" w:ascii="宋体" w:hAnsi="宋体" w:cs="宋体"/>
                <w:kern w:val="0"/>
                <w:sz w:val="20"/>
                <w:szCs w:val="20"/>
              </w:rPr>
            </w:pPr>
          </w:p>
        </w:tc>
      </w:tr>
      <w:tr w14:paraId="7FB4101D">
        <w:tblPrEx>
          <w:tblCellMar>
            <w:top w:w="0" w:type="dxa"/>
            <w:left w:w="108" w:type="dxa"/>
            <w:bottom w:w="0" w:type="dxa"/>
            <w:right w:w="108" w:type="dxa"/>
          </w:tblCellMar>
        </w:tblPrEx>
        <w:trPr>
          <w:trHeight w:val="402" w:hRule="atLeast"/>
        </w:trPr>
        <w:tc>
          <w:tcPr>
            <w:tcW w:w="367" w:type="pct"/>
            <w:vMerge w:val="continue"/>
            <w:tcBorders>
              <w:top w:val="single" w:color="auto" w:sz="4" w:space="0"/>
              <w:left w:val="single" w:color="auto" w:sz="4" w:space="0"/>
              <w:bottom w:val="single" w:color="auto" w:sz="4" w:space="0"/>
              <w:right w:val="single" w:color="auto" w:sz="4" w:space="0"/>
            </w:tcBorders>
            <w:vAlign w:val="center"/>
          </w:tcPr>
          <w:p w14:paraId="12FCE53C">
            <w:pPr>
              <w:widowControl/>
              <w:jc w:val="left"/>
              <w:rPr>
                <w:rFonts w:hint="eastAsia" w:ascii="宋体" w:hAnsi="宋体" w:cs="宋体"/>
                <w:kern w:val="0"/>
                <w:sz w:val="20"/>
                <w:szCs w:val="20"/>
              </w:rPr>
            </w:pPr>
          </w:p>
        </w:tc>
        <w:tc>
          <w:tcPr>
            <w:tcW w:w="369" w:type="pct"/>
            <w:tcBorders>
              <w:top w:val="single" w:color="auto" w:sz="4" w:space="0"/>
              <w:left w:val="single" w:color="auto" w:sz="4" w:space="0"/>
              <w:bottom w:val="single" w:color="auto" w:sz="4" w:space="0"/>
              <w:right w:val="single" w:color="auto" w:sz="4" w:space="0"/>
            </w:tcBorders>
            <w:shd w:val="clear" w:color="auto" w:fill="auto"/>
            <w:vAlign w:val="center"/>
          </w:tcPr>
          <w:p w14:paraId="0AF2E918">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613" w:type="pct"/>
            <w:tcBorders>
              <w:top w:val="single" w:color="auto" w:sz="4" w:space="0"/>
              <w:left w:val="single" w:color="auto" w:sz="4" w:space="0"/>
              <w:bottom w:val="single" w:color="auto" w:sz="4" w:space="0"/>
              <w:right w:val="single" w:color="auto" w:sz="4" w:space="0"/>
            </w:tcBorders>
            <w:shd w:val="clear" w:color="auto" w:fill="auto"/>
            <w:vAlign w:val="center"/>
          </w:tcPr>
          <w:p w14:paraId="23E4FD56">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818"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2D787E3">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529" w:type="pct"/>
            <w:tcBorders>
              <w:top w:val="single" w:color="auto" w:sz="4" w:space="0"/>
              <w:left w:val="single" w:color="auto" w:sz="4" w:space="0"/>
              <w:bottom w:val="single" w:color="auto" w:sz="4" w:space="0"/>
              <w:right w:val="single" w:color="auto" w:sz="4" w:space="0"/>
            </w:tcBorders>
            <w:shd w:val="clear" w:color="auto" w:fill="auto"/>
            <w:vAlign w:val="center"/>
          </w:tcPr>
          <w:p w14:paraId="4184D96B">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468" w:type="pct"/>
            <w:tcBorders>
              <w:top w:val="single" w:color="auto" w:sz="4" w:space="0"/>
              <w:left w:val="single" w:color="auto" w:sz="4" w:space="0"/>
              <w:bottom w:val="single" w:color="auto" w:sz="4" w:space="0"/>
              <w:right w:val="single" w:color="auto" w:sz="4" w:space="0"/>
            </w:tcBorders>
            <w:shd w:val="clear" w:color="auto" w:fill="auto"/>
            <w:vAlign w:val="center"/>
          </w:tcPr>
          <w:p w14:paraId="2095C26D">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5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50A04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224F2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42CF27">
            <w:pPr>
              <w:widowControl/>
              <w:jc w:val="center"/>
              <w:rPr>
                <w:rFonts w:hint="eastAsia" w:ascii="宋体" w:hAnsi="宋体" w:cs="宋体"/>
                <w:kern w:val="0"/>
                <w:sz w:val="20"/>
                <w:szCs w:val="20"/>
              </w:rPr>
            </w:pPr>
          </w:p>
        </w:tc>
      </w:tr>
      <w:tr w14:paraId="1695AF07">
        <w:tblPrEx>
          <w:tblCellMar>
            <w:top w:w="0" w:type="dxa"/>
            <w:left w:w="108" w:type="dxa"/>
            <w:bottom w:w="0" w:type="dxa"/>
            <w:right w:w="108" w:type="dxa"/>
          </w:tblCellMar>
        </w:tblPrEx>
        <w:trPr>
          <w:trHeight w:val="270" w:hRule="atLeast"/>
        </w:trPr>
        <w:tc>
          <w:tcPr>
            <w:tcW w:w="3166"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9DB2F1B">
            <w:pPr>
              <w:widowControl/>
              <w:jc w:val="center"/>
              <w:rPr>
                <w:rFonts w:hint="eastAsia" w:ascii="宋体" w:hAnsi="宋体" w:cs="宋体"/>
                <w:kern w:val="0"/>
                <w:sz w:val="20"/>
                <w:szCs w:val="20"/>
              </w:rPr>
            </w:pPr>
            <w:r>
              <w:rPr>
                <w:rFonts w:hint="eastAsia" w:ascii="宋体" w:hAnsi="宋体" w:cs="宋体"/>
                <w:kern w:val="0"/>
                <w:sz w:val="20"/>
                <w:szCs w:val="20"/>
              </w:rPr>
              <w:t>总分</w:t>
            </w:r>
          </w:p>
        </w:tc>
        <w:tc>
          <w:tcPr>
            <w:tcW w:w="554" w:type="pct"/>
            <w:gridSpan w:val="2"/>
            <w:tcBorders>
              <w:top w:val="single" w:color="auto" w:sz="4" w:space="0"/>
              <w:left w:val="nil"/>
              <w:bottom w:val="single" w:color="auto" w:sz="4" w:space="0"/>
              <w:right w:val="single" w:color="auto" w:sz="4" w:space="0"/>
            </w:tcBorders>
            <w:shd w:val="clear" w:color="auto" w:fill="auto"/>
            <w:vAlign w:val="center"/>
          </w:tcPr>
          <w:p w14:paraId="28AB0157">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435F3AFA">
            <w:pPr>
              <w:widowControl/>
              <w:jc w:val="center"/>
              <w:rPr>
                <w:rFonts w:hint="eastAsia" w:ascii="宋体" w:hAnsi="宋体" w:cs="宋体"/>
                <w:kern w:val="0"/>
                <w:sz w:val="20"/>
                <w:szCs w:val="20"/>
              </w:rPr>
            </w:pPr>
            <w:r>
              <w:rPr>
                <w:rFonts w:hint="eastAsia" w:ascii="宋体" w:hAnsi="宋体" w:cs="宋体"/>
                <w:kern w:val="0"/>
                <w:sz w:val="20"/>
                <w:szCs w:val="20"/>
              </w:rPr>
              <w:t>100分</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7665087">
            <w:pPr>
              <w:widowControl/>
              <w:jc w:val="center"/>
              <w:rPr>
                <w:rFonts w:hint="eastAsia" w:ascii="宋体" w:hAnsi="宋体" w:cs="宋体"/>
                <w:kern w:val="0"/>
                <w:sz w:val="20"/>
                <w:szCs w:val="20"/>
              </w:rPr>
            </w:pPr>
          </w:p>
        </w:tc>
      </w:tr>
    </w:tbl>
    <w:p w14:paraId="07685FE9">
      <w:pPr>
        <w:ind w:firstLine="640" w:firstLineChars="200"/>
        <w:jc w:val="left"/>
        <w:rPr>
          <w:rFonts w:ascii="仿宋_GB2312" w:eastAsia="仿宋_GB2312"/>
          <w:sz w:val="32"/>
          <w:szCs w:val="32"/>
        </w:rPr>
      </w:pPr>
    </w:p>
    <w:p w14:paraId="4A34223E">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D1291FE">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5C77A592">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t>第三部分 专业名词解释</w:t>
      </w:r>
      <w:bookmarkEnd w:id="30"/>
      <w:bookmarkEnd w:id="31"/>
    </w:p>
    <w:p w14:paraId="7517CC3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D03708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8014E7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652B765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4F676BB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4D9C980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B81667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E44AAD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B5BACA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76FAC6A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DA3BB8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D5EE3C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C54C45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FD649E">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6609FCE1">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8372AC4">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677071AD">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5FC5D6D5">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43CF932E">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0D4E1179">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0701068F">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4D6546E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415D2903">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2DFB3AE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A10399E">
      <w:pPr>
        <w:ind w:firstLine="640" w:firstLineChars="200"/>
        <w:rPr>
          <w:rFonts w:ascii="仿宋_GB2312" w:eastAsia="仿宋_GB2312"/>
          <w:sz w:val="32"/>
          <w:szCs w:val="32"/>
        </w:rPr>
      </w:pPr>
    </w:p>
    <w:p w14:paraId="7B7F199E">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E4604">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A0C518">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9A0C518">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344A18"/>
    <w:rsid w:val="000E3D90"/>
    <w:rsid w:val="00213C59"/>
    <w:rsid w:val="00222F22"/>
    <w:rsid w:val="00227367"/>
    <w:rsid w:val="0024103A"/>
    <w:rsid w:val="00250250"/>
    <w:rsid w:val="002D3E17"/>
    <w:rsid w:val="003210CE"/>
    <w:rsid w:val="00344A18"/>
    <w:rsid w:val="00393AAC"/>
    <w:rsid w:val="003A2D0F"/>
    <w:rsid w:val="003A3E83"/>
    <w:rsid w:val="003D105C"/>
    <w:rsid w:val="0045190D"/>
    <w:rsid w:val="004852FC"/>
    <w:rsid w:val="0052043B"/>
    <w:rsid w:val="00524E2B"/>
    <w:rsid w:val="00541735"/>
    <w:rsid w:val="005A4F32"/>
    <w:rsid w:val="00623721"/>
    <w:rsid w:val="006704C2"/>
    <w:rsid w:val="00675371"/>
    <w:rsid w:val="0069558A"/>
    <w:rsid w:val="0072385A"/>
    <w:rsid w:val="007256AA"/>
    <w:rsid w:val="007C34EF"/>
    <w:rsid w:val="008672FE"/>
    <w:rsid w:val="00950763"/>
    <w:rsid w:val="00AA47C4"/>
    <w:rsid w:val="00AD1BC9"/>
    <w:rsid w:val="00AD7AAA"/>
    <w:rsid w:val="00B70D59"/>
    <w:rsid w:val="00B90813"/>
    <w:rsid w:val="00C96728"/>
    <w:rsid w:val="00CB0987"/>
    <w:rsid w:val="00CF6975"/>
    <w:rsid w:val="00D27261"/>
    <w:rsid w:val="00DA7F55"/>
    <w:rsid w:val="00DB0043"/>
    <w:rsid w:val="00F52A8D"/>
    <w:rsid w:val="00FF42BE"/>
    <w:rsid w:val="019404F8"/>
    <w:rsid w:val="02BD3108"/>
    <w:rsid w:val="02F73D26"/>
    <w:rsid w:val="034D4FEF"/>
    <w:rsid w:val="035D1785"/>
    <w:rsid w:val="039F47CE"/>
    <w:rsid w:val="03E05CE8"/>
    <w:rsid w:val="03F973EE"/>
    <w:rsid w:val="043E5B56"/>
    <w:rsid w:val="044E3B73"/>
    <w:rsid w:val="048C3708"/>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AF44089"/>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A00618"/>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A00892"/>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394495"/>
    <w:rsid w:val="584A0929"/>
    <w:rsid w:val="58CD2491"/>
    <w:rsid w:val="591B41B2"/>
    <w:rsid w:val="59254A26"/>
    <w:rsid w:val="59326325"/>
    <w:rsid w:val="595C505B"/>
    <w:rsid w:val="595E55C3"/>
    <w:rsid w:val="596E7E20"/>
    <w:rsid w:val="59C503C4"/>
    <w:rsid w:val="59F9242B"/>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147921"/>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6934</Words>
  <Characters>7944</Characters>
  <Lines>65</Lines>
  <Paragraphs>18</Paragraphs>
  <TotalTime>4</TotalTime>
  <ScaleCrop>false</ScaleCrop>
  <LinksUpToDate>false</LinksUpToDate>
  <CharactersWithSpaces>7954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2024-12-27T06:19:14Z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